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192"/>
        <w:tblW w:w="22289" w:type="dxa"/>
        <w:tblLook w:val="04A0" w:firstRow="1" w:lastRow="0" w:firstColumn="1" w:lastColumn="0" w:noHBand="0" w:noVBand="1"/>
      </w:tblPr>
      <w:tblGrid>
        <w:gridCol w:w="849"/>
        <w:gridCol w:w="2000"/>
        <w:gridCol w:w="3385"/>
        <w:gridCol w:w="3590"/>
        <w:gridCol w:w="4150"/>
        <w:gridCol w:w="4155"/>
        <w:gridCol w:w="4160"/>
      </w:tblGrid>
      <w:tr w:rsidR="005F5DC8" w:rsidTr="005F5DC8">
        <w:trPr>
          <w:trHeight w:val="979"/>
        </w:trPr>
        <w:tc>
          <w:tcPr>
            <w:tcW w:w="8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F5DC8" w:rsidRPr="00931490" w:rsidRDefault="005F5DC8" w:rsidP="005F5DC8">
            <w:pPr>
              <w:ind w:left="-149" w:right="113" w:firstLine="262"/>
              <w:jc w:val="center"/>
              <w:rPr>
                <w:b/>
                <w:sz w:val="20"/>
              </w:rPr>
            </w:pPr>
            <w:r w:rsidRPr="00931490">
              <w:rPr>
                <w:b/>
                <w:sz w:val="28"/>
              </w:rPr>
              <w:t>ÉXONÉRATIONS</w:t>
            </w:r>
          </w:p>
        </w:tc>
        <w:tc>
          <w:tcPr>
            <w:tcW w:w="21440" w:type="dxa"/>
            <w:gridSpan w:val="6"/>
            <w:shd w:val="clear" w:color="auto" w:fill="F2F2F2" w:themeFill="background1" w:themeFillShade="F2"/>
            <w:vAlign w:val="center"/>
          </w:tcPr>
          <w:p w:rsidR="005F5DC8" w:rsidRDefault="005F5DC8" w:rsidP="005F5DC8">
            <w:pPr>
              <w:jc w:val="center"/>
              <w:rPr>
                <w:b/>
                <w:sz w:val="28"/>
              </w:rPr>
            </w:pPr>
            <w:r w:rsidRPr="00931490">
              <w:rPr>
                <w:b/>
                <w:sz w:val="28"/>
              </w:rPr>
              <w:t>DÉLAIS DE DÉLIBÉRATION</w:t>
            </w:r>
            <w:r>
              <w:rPr>
                <w:b/>
                <w:sz w:val="28"/>
              </w:rPr>
              <w:t xml:space="preserve"> 2025 </w:t>
            </w:r>
          </w:p>
          <w:p w:rsidR="005F5DC8" w:rsidRPr="00C517DA" w:rsidRDefault="005F5DC8" w:rsidP="005F5D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 zone France ruralités revitalisation (FRR) </w:t>
            </w:r>
          </w:p>
        </w:tc>
      </w:tr>
      <w:tr w:rsidR="005F5DC8" w:rsidTr="005F5DC8">
        <w:trPr>
          <w:trHeight w:val="622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vMerge w:val="restart"/>
            <w:shd w:val="clear" w:color="auto" w:fill="FFF2CC" w:themeFill="accent4" w:themeFillTint="33"/>
            <w:vAlign w:val="bottom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Articles du CGI</w:t>
            </w:r>
          </w:p>
        </w:tc>
        <w:tc>
          <w:tcPr>
            <w:tcW w:w="6975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5B3B20">
              <w:rPr>
                <w:b/>
                <w:sz w:val="24"/>
              </w:rPr>
              <w:t>Communes classées</w:t>
            </w:r>
            <w:r>
              <w:rPr>
                <w:b/>
                <w:sz w:val="24"/>
              </w:rPr>
              <w:t xml:space="preserve"> en FRR </w:t>
            </w:r>
            <w:r w:rsidRPr="005B3B20">
              <w:rPr>
                <w:b/>
                <w:sz w:val="24"/>
              </w:rPr>
              <w:t>en loi de finances pour 2024</w:t>
            </w:r>
          </w:p>
        </w:tc>
        <w:tc>
          <w:tcPr>
            <w:tcW w:w="12465" w:type="dxa"/>
            <w:gridSpan w:val="3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  <w:sz w:val="20"/>
              </w:rPr>
            </w:pPr>
            <w:r w:rsidRPr="005B3B20">
              <w:rPr>
                <w:b/>
                <w:sz w:val="24"/>
              </w:rPr>
              <w:t>Communes classées</w:t>
            </w:r>
            <w:r>
              <w:rPr>
                <w:rFonts w:ascii="Calibri" w:hAnsi="Calibri" w:cs="Calibri"/>
                <w:b/>
                <w:sz w:val="24"/>
              </w:rPr>
              <w:t> </w:t>
            </w:r>
            <w:r>
              <w:rPr>
                <w:b/>
                <w:sz w:val="24"/>
              </w:rPr>
              <w:t>/ bénéficiaires</w:t>
            </w:r>
            <w:r w:rsidRPr="005B3B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FRR </w:t>
            </w:r>
            <w:r w:rsidRPr="005B3B20">
              <w:rPr>
                <w:b/>
                <w:sz w:val="24"/>
              </w:rPr>
              <w:t>en loi de finances pour 2025</w:t>
            </w:r>
          </w:p>
        </w:tc>
      </w:tr>
      <w:tr w:rsidR="005F5DC8" w:rsidTr="005F5DC8">
        <w:trPr>
          <w:trHeight w:val="1564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vMerge/>
            <w:shd w:val="clear" w:color="auto" w:fill="FFF2CC" w:themeFill="accent4" w:themeFillTint="33"/>
          </w:tcPr>
          <w:p w:rsidR="005F5DC8" w:rsidRDefault="005F5DC8" w:rsidP="005F5DC8"/>
        </w:tc>
        <w:tc>
          <w:tcPr>
            <w:tcW w:w="6975" w:type="dxa"/>
            <w:gridSpan w:val="2"/>
            <w:vMerge/>
            <w:shd w:val="clear" w:color="auto" w:fill="FFF2CC" w:themeFill="accent4" w:themeFillTint="33"/>
          </w:tcPr>
          <w:p w:rsidR="005F5DC8" w:rsidRPr="00964F8B" w:rsidRDefault="005F5DC8" w:rsidP="005F5DC8">
            <w:pPr>
              <w:rPr>
                <w:sz w:val="20"/>
              </w:rPr>
            </w:pPr>
          </w:p>
        </w:tc>
        <w:tc>
          <w:tcPr>
            <w:tcW w:w="8305" w:type="dxa"/>
            <w:gridSpan w:val="2"/>
            <w:shd w:val="clear" w:color="auto" w:fill="FFF2CC" w:themeFill="accent4" w:themeFillTint="33"/>
            <w:vAlign w:val="center"/>
          </w:tcPr>
          <w:p w:rsidR="005F5DC8" w:rsidRDefault="005F5DC8" w:rsidP="005F5DC8">
            <w:pPr>
              <w:jc w:val="center"/>
              <w:rPr>
                <w:rFonts w:cs="Marianne"/>
                <w:b/>
              </w:rPr>
            </w:pPr>
            <w:r w:rsidRPr="00856FF8">
              <w:rPr>
                <w:b/>
              </w:rPr>
              <w:t>Communes «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FRR bénéficiaires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rFonts w:cs="Marianne"/>
                <w:b/>
              </w:rPr>
              <w:t>»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cs="Marianne"/>
                <w:b/>
              </w:rPr>
              <w:t>;</w:t>
            </w:r>
          </w:p>
          <w:p w:rsidR="005F5DC8" w:rsidRPr="00856FF8" w:rsidRDefault="005F5DC8" w:rsidP="005F5DC8">
            <w:pPr>
              <w:jc w:val="center"/>
              <w:rPr>
                <w:b/>
              </w:rPr>
            </w:pPr>
            <w:proofErr w:type="spellStart"/>
            <w:r w:rsidRPr="00856FF8">
              <w:rPr>
                <w:b/>
              </w:rPr>
              <w:t>Vinon</w:t>
            </w:r>
            <w:proofErr w:type="spellEnd"/>
            <w:r w:rsidRPr="00856FF8">
              <w:rPr>
                <w:b/>
              </w:rPr>
              <w:t>-sur-Verdon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</w:p>
          <w:p w:rsidR="005F5DC8" w:rsidRPr="00D60002" w:rsidRDefault="005F5DC8" w:rsidP="005F5DC8">
            <w:pPr>
              <w:jc w:val="center"/>
              <w:rPr>
                <w:b/>
              </w:rPr>
            </w:pPr>
            <w:r w:rsidRPr="00856FF8">
              <w:rPr>
                <w:b/>
              </w:rPr>
              <w:t>Ingrandes-le-Fresnes-sur-Loire</w:t>
            </w:r>
          </w:p>
        </w:tc>
        <w:tc>
          <w:tcPr>
            <w:tcW w:w="4160" w:type="dxa"/>
            <w:shd w:val="clear" w:color="auto" w:fill="FFF2CC" w:themeFill="accent4" w:themeFillTint="33"/>
            <w:vAlign w:val="center"/>
          </w:tcPr>
          <w:p w:rsidR="005F5DC8" w:rsidRPr="00856FF8" w:rsidRDefault="005F5DC8" w:rsidP="005F5DC8">
            <w:pPr>
              <w:jc w:val="center"/>
              <w:rPr>
                <w:b/>
              </w:rPr>
            </w:pPr>
            <w:r w:rsidRPr="00856FF8">
              <w:rPr>
                <w:b/>
              </w:rPr>
              <w:t>CC du Réolais en Sud-Gironde</w:t>
            </w:r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</w:p>
          <w:p w:rsidR="005F5DC8" w:rsidRPr="00856FF8" w:rsidRDefault="005F5DC8" w:rsidP="005F5DC8">
            <w:pPr>
              <w:jc w:val="center"/>
              <w:rPr>
                <w:b/>
              </w:rPr>
            </w:pPr>
            <w:r w:rsidRPr="00856FF8">
              <w:rPr>
                <w:b/>
              </w:rPr>
              <w:t>CC Castillon/</w:t>
            </w:r>
            <w:proofErr w:type="spellStart"/>
            <w:r w:rsidRPr="00856FF8">
              <w:rPr>
                <w:b/>
              </w:rPr>
              <w:t>Pujols</w:t>
            </w:r>
            <w:proofErr w:type="spellEnd"/>
            <w:r w:rsidRPr="00856FF8">
              <w:rPr>
                <w:rFonts w:ascii="Calibri" w:hAnsi="Calibri" w:cs="Calibri"/>
                <w:b/>
              </w:rPr>
              <w:t> </w:t>
            </w:r>
            <w:r w:rsidRPr="00856FF8">
              <w:rPr>
                <w:b/>
              </w:rPr>
              <w:t>;</w:t>
            </w:r>
          </w:p>
          <w:p w:rsidR="005F5DC8" w:rsidRPr="00964F8B" w:rsidRDefault="005F5DC8" w:rsidP="005F5DC8">
            <w:pPr>
              <w:jc w:val="center"/>
              <w:rPr>
                <w:sz w:val="20"/>
              </w:rPr>
            </w:pPr>
            <w:r w:rsidRPr="00856FF8">
              <w:rPr>
                <w:b/>
              </w:rPr>
              <w:t>CC Cœur de l’Avesnois</w:t>
            </w:r>
          </w:p>
        </w:tc>
      </w:tr>
      <w:tr w:rsidR="005F5DC8" w:rsidTr="005F5DC8">
        <w:trPr>
          <w:trHeight w:val="1762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vMerge/>
            <w:shd w:val="clear" w:color="auto" w:fill="FFF2CC" w:themeFill="accent4" w:themeFillTint="33"/>
          </w:tcPr>
          <w:p w:rsidR="005F5DC8" w:rsidRDefault="005F5DC8" w:rsidP="005F5DC8"/>
        </w:tc>
        <w:tc>
          <w:tcPr>
            <w:tcW w:w="3385" w:type="dxa"/>
            <w:shd w:val="clear" w:color="auto" w:fill="D9E2F3" w:themeFill="accent5" w:themeFillTint="33"/>
            <w:vAlign w:val="center"/>
          </w:tcPr>
          <w:p w:rsidR="005F5DC8" w:rsidRPr="002314AE" w:rsidRDefault="005F5DC8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dans un délai de 40 jours suivant la promulgation de la LFI 2025, soit  </w:t>
            </w:r>
            <w:r w:rsidRPr="00D64328">
              <w:rPr>
                <w:b/>
                <w:i/>
                <w:sz w:val="20"/>
              </w:rPr>
              <w:t>jusqu’au 26 mars 2025 inclus</w:t>
            </w:r>
          </w:p>
        </w:tc>
        <w:tc>
          <w:tcPr>
            <w:tcW w:w="3590" w:type="dxa"/>
            <w:shd w:val="clear" w:color="auto" w:fill="D9E2F3" w:themeFill="accent5" w:themeFillTint="33"/>
            <w:vAlign w:val="center"/>
          </w:tcPr>
          <w:p w:rsidR="005F5DC8" w:rsidRPr="007A7904" w:rsidRDefault="005F5DC8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</w:t>
            </w:r>
            <w:r w:rsidRPr="00D64328">
              <w:rPr>
                <w:b/>
                <w:i/>
                <w:sz w:val="20"/>
              </w:rPr>
              <w:t>avant le 1</w:t>
            </w:r>
            <w:r w:rsidRPr="00D64328">
              <w:rPr>
                <w:b/>
                <w:i/>
                <w:sz w:val="20"/>
                <w:vertAlign w:val="superscript"/>
              </w:rPr>
              <w:t>er</w:t>
            </w:r>
            <w:r w:rsidRPr="00D64328">
              <w:rPr>
                <w:b/>
                <w:i/>
                <w:sz w:val="20"/>
              </w:rPr>
              <w:t xml:space="preserve"> octobre 2025</w:t>
            </w:r>
          </w:p>
          <w:p w:rsidR="005F5DC8" w:rsidRDefault="005F5DC8" w:rsidP="005F5DC8">
            <w:pPr>
              <w:jc w:val="center"/>
              <w:rPr>
                <w:i/>
                <w:sz w:val="18"/>
              </w:rPr>
            </w:pPr>
          </w:p>
          <w:p w:rsidR="005F5DC8" w:rsidRPr="00A665F9" w:rsidRDefault="005F5DC8" w:rsidP="005F5DC8">
            <w:pPr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>(collectivités</w:t>
            </w:r>
            <w:r w:rsidRPr="00A665F9">
              <w:rPr>
                <w:i/>
                <w:sz w:val="18"/>
              </w:rPr>
              <w:t xml:space="preserve"> qui n’auraient pas encore délibéré)</w:t>
            </w:r>
          </w:p>
        </w:tc>
        <w:tc>
          <w:tcPr>
            <w:tcW w:w="4150" w:type="dxa"/>
            <w:shd w:val="clear" w:color="auto" w:fill="D9E2F3" w:themeFill="accent5" w:themeFillTint="33"/>
            <w:vAlign w:val="center"/>
          </w:tcPr>
          <w:p w:rsidR="005F5DC8" w:rsidRPr="002314AE" w:rsidRDefault="005F5DC8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dans un délai de 40 jours suivant la promulgation de la LFI 2025, soit </w:t>
            </w:r>
            <w:r w:rsidRPr="00D64328">
              <w:rPr>
                <w:b/>
                <w:i/>
                <w:sz w:val="20"/>
              </w:rPr>
              <w:t>jusqu’au 26 mars 2025 inclus</w:t>
            </w:r>
          </w:p>
        </w:tc>
        <w:tc>
          <w:tcPr>
            <w:tcW w:w="4155" w:type="dxa"/>
            <w:shd w:val="clear" w:color="auto" w:fill="D9E2F3" w:themeFill="accent5" w:themeFillTint="33"/>
            <w:vAlign w:val="center"/>
          </w:tcPr>
          <w:p w:rsidR="005F5DC8" w:rsidRPr="002314AE" w:rsidRDefault="005F5DC8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</w:t>
            </w:r>
            <w:r w:rsidRPr="00D64328">
              <w:rPr>
                <w:b/>
                <w:i/>
                <w:sz w:val="20"/>
              </w:rPr>
              <w:t>entre le 27 mars 2025 et le 30 septembre 2025</w:t>
            </w:r>
          </w:p>
        </w:tc>
        <w:tc>
          <w:tcPr>
            <w:tcW w:w="4160" w:type="dxa"/>
            <w:shd w:val="clear" w:color="auto" w:fill="D9E2F3" w:themeFill="accent5" w:themeFillTint="33"/>
            <w:vAlign w:val="center"/>
          </w:tcPr>
          <w:p w:rsidR="005F5DC8" w:rsidRDefault="005F5DC8" w:rsidP="005F5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Délibération </w:t>
            </w:r>
            <w:r w:rsidRPr="00D64328">
              <w:rPr>
                <w:b/>
                <w:i/>
                <w:sz w:val="20"/>
              </w:rPr>
              <w:t>avant le 1</w:t>
            </w:r>
            <w:r w:rsidRPr="00D64328">
              <w:rPr>
                <w:b/>
                <w:i/>
                <w:sz w:val="20"/>
                <w:vertAlign w:val="superscript"/>
              </w:rPr>
              <w:t>er</w:t>
            </w:r>
            <w:r w:rsidRPr="00D64328">
              <w:rPr>
                <w:b/>
                <w:i/>
                <w:sz w:val="20"/>
              </w:rPr>
              <w:t xml:space="preserve"> octobre 2025</w:t>
            </w:r>
          </w:p>
        </w:tc>
      </w:tr>
      <w:tr w:rsidR="005F5DC8" w:rsidTr="005F5DC8">
        <w:trPr>
          <w:trHeight w:val="1325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ind w:left="35" w:hanging="35"/>
              <w:jc w:val="center"/>
              <w:rPr>
                <w:b/>
              </w:rPr>
            </w:pPr>
            <w:r w:rsidRPr="00931490">
              <w:rPr>
                <w:b/>
              </w:rPr>
              <w:t>1383 K</w:t>
            </w: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non concernée par ce délai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2027 pour les entreprises créées ou reprises à partir de 2026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2025 pour les entreprises créées ou reprises à partir du 1</w:t>
            </w:r>
            <w:r w:rsidRPr="005D10F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 2024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2027 pour les entreprises créées ou reprises à partir de 2026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2027 pour les entreprises créées ou reprises à partir de 2026</w:t>
            </w:r>
          </w:p>
        </w:tc>
      </w:tr>
      <w:tr w:rsidR="005F5DC8" w:rsidTr="005F5DC8">
        <w:trPr>
          <w:trHeight w:val="1319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1466 G</w:t>
            </w:r>
          </w:p>
          <w:p w:rsidR="005F5DC8" w:rsidRPr="005D10F0" w:rsidRDefault="005F5DC8" w:rsidP="005F5DC8">
            <w:pPr>
              <w:jc w:val="center"/>
            </w:pP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non concernée par ce délai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entreprises créées ou reprises à partir de 2026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2025 pour les entreprises créées ou reprises à partir du 1</w:t>
            </w:r>
            <w:r w:rsidRPr="005D10F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 2024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entreprises créées ou reprises à partir de 2026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entreprises créées ou reprises à partir de 2026</w:t>
            </w:r>
          </w:p>
        </w:tc>
      </w:tr>
      <w:tr w:rsidR="005F5DC8" w:rsidTr="005F5DC8">
        <w:trPr>
          <w:trHeight w:val="1667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1464 D</w:t>
            </w: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Possibilité de délibérer ou de </w:t>
            </w:r>
            <w:proofErr w:type="spellStart"/>
            <w:r>
              <w:rPr>
                <w:sz w:val="20"/>
              </w:rPr>
              <w:t>re</w:t>
            </w:r>
            <w:proofErr w:type="spellEnd"/>
            <w:r>
              <w:rPr>
                <w:sz w:val="20"/>
              </w:rPr>
              <w:t>-délibérer pour exonérer de CFE à compter de 2025 les médecins et auxiliaires médicaux installés à partir du 1</w:t>
            </w:r>
            <w:r w:rsidRPr="00A665F9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 2024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médecins et auxiliaires médicaux installés à partir de 2026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2025 pour les médecins et auxiliaires médicaux installés à partir du 1</w:t>
            </w:r>
            <w:r w:rsidRPr="005D10F0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 2024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médecins et auxiliaires médicaux installés à partir de 2026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CFE à compter de 2027 pour les médecins et auxiliaires médicaux installés à partir de 2026</w:t>
            </w:r>
          </w:p>
        </w:tc>
      </w:tr>
      <w:tr w:rsidR="005F5DC8" w:rsidTr="005F5DC8">
        <w:trPr>
          <w:trHeight w:val="1811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1383 E bis</w:t>
            </w: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non concernée par ce délai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2025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2025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hôtels,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</w:tr>
      <w:tr w:rsidR="005F5DC8" w:rsidTr="005F5DC8">
        <w:trPr>
          <w:trHeight w:val="1776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1414 bis</w:t>
            </w:r>
          </w:p>
          <w:p w:rsidR="005F5DC8" w:rsidRPr="001668E9" w:rsidRDefault="005F5DC8" w:rsidP="005F5DC8">
            <w:pPr>
              <w:jc w:val="center"/>
            </w:pPr>
            <w:r w:rsidRPr="001668E9">
              <w:t>(ancien article 1407-III)</w:t>
            </w: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non concernée par ce délai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2026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2025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2025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2026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taxe d’habitation à compter de 2026 pour les meublés de tourisme et chambres d’hôtes existants au 1</w:t>
            </w:r>
            <w:r w:rsidRPr="00FC7082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janvier 2026</w:t>
            </w:r>
          </w:p>
        </w:tc>
      </w:tr>
      <w:tr w:rsidR="005F5DC8" w:rsidTr="005F5DC8">
        <w:trPr>
          <w:trHeight w:val="1803"/>
        </w:trPr>
        <w:tc>
          <w:tcPr>
            <w:tcW w:w="849" w:type="dxa"/>
            <w:vMerge/>
            <w:shd w:val="clear" w:color="auto" w:fill="F2F2F2" w:themeFill="background1" w:themeFillShade="F2"/>
          </w:tcPr>
          <w:p w:rsidR="005F5DC8" w:rsidRDefault="005F5DC8" w:rsidP="005F5DC8"/>
        </w:tc>
        <w:tc>
          <w:tcPr>
            <w:tcW w:w="2000" w:type="dxa"/>
            <w:shd w:val="clear" w:color="auto" w:fill="FFF2CC" w:themeFill="accent4" w:themeFillTint="33"/>
            <w:vAlign w:val="center"/>
          </w:tcPr>
          <w:p w:rsidR="005F5DC8" w:rsidRPr="00931490" w:rsidRDefault="005F5DC8" w:rsidP="005F5DC8">
            <w:pPr>
              <w:jc w:val="center"/>
              <w:rPr>
                <w:b/>
              </w:rPr>
            </w:pPr>
            <w:r w:rsidRPr="00931490">
              <w:rPr>
                <w:b/>
              </w:rPr>
              <w:t>1383 E</w:t>
            </w:r>
          </w:p>
        </w:tc>
        <w:tc>
          <w:tcPr>
            <w:tcW w:w="338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Possibilité de délibérer ou de </w:t>
            </w:r>
            <w:proofErr w:type="spellStart"/>
            <w:r>
              <w:rPr>
                <w:sz w:val="20"/>
              </w:rPr>
              <w:t>re</w:t>
            </w:r>
            <w:proofErr w:type="spellEnd"/>
            <w:r>
              <w:rPr>
                <w:sz w:val="20"/>
              </w:rPr>
              <w:t>-délibérer pour exonérer  de TFPB à compter de 2025 les logements locatifs dont les travaux d’amélioration se sont achevés à partir du 1</w:t>
            </w:r>
            <w:r w:rsidRPr="007A7904">
              <w:rPr>
                <w:sz w:val="20"/>
                <w:vertAlign w:val="superscript"/>
              </w:rPr>
              <w:t>er</w:t>
            </w:r>
            <w:r>
              <w:rPr>
                <w:sz w:val="20"/>
              </w:rPr>
              <w:t xml:space="preserve"> juillet 2024</w:t>
            </w:r>
          </w:p>
        </w:tc>
        <w:tc>
          <w:tcPr>
            <w:tcW w:w="359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logements locatifs dont les travaux d’amélioration se sont achevés à partir de 2025</w:t>
            </w:r>
          </w:p>
        </w:tc>
        <w:tc>
          <w:tcPr>
            <w:tcW w:w="415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Exonération de TFPB à compter de 2025 pour les logements locatifs </w:t>
            </w:r>
            <w:r w:rsidRPr="00570136">
              <w:rPr>
                <w:sz w:val="20"/>
              </w:rPr>
              <w:t>dont les travaux d’amélioration se sont achevés à partir du 1</w:t>
            </w:r>
            <w:r w:rsidRPr="00570136">
              <w:rPr>
                <w:sz w:val="20"/>
                <w:vertAlign w:val="superscript"/>
              </w:rPr>
              <w:t>er</w:t>
            </w:r>
            <w:r w:rsidRPr="00570136">
              <w:rPr>
                <w:sz w:val="20"/>
              </w:rPr>
              <w:t xml:space="preserve"> juillet 2024</w:t>
            </w:r>
          </w:p>
        </w:tc>
        <w:tc>
          <w:tcPr>
            <w:tcW w:w="4155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logements locatifs dont les travaux d’amélioration se sont achevés à partir de 2025</w:t>
            </w:r>
          </w:p>
        </w:tc>
        <w:tc>
          <w:tcPr>
            <w:tcW w:w="4160" w:type="dxa"/>
            <w:vAlign w:val="center"/>
          </w:tcPr>
          <w:p w:rsidR="005F5DC8" w:rsidRPr="002314AE" w:rsidRDefault="005F5DC8" w:rsidP="005F5DC8">
            <w:pPr>
              <w:jc w:val="both"/>
              <w:rPr>
                <w:sz w:val="20"/>
              </w:rPr>
            </w:pPr>
            <w:r>
              <w:rPr>
                <w:sz w:val="20"/>
              </w:rPr>
              <w:t>Exonération de TFPB à compter de 2026 pour les logements locatifs dont les travaux d’amélioration se sont achevés à partir de 2025</w:t>
            </w:r>
          </w:p>
        </w:tc>
      </w:tr>
    </w:tbl>
    <w:p w:rsidR="00A665F9" w:rsidRDefault="00A665F9" w:rsidP="00A665F9"/>
    <w:sectPr w:rsidR="00A665F9" w:rsidSect="005F5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624" w:right="678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F7" w:rsidRDefault="007170F7" w:rsidP="007A7904">
      <w:pPr>
        <w:spacing w:after="0" w:line="240" w:lineRule="auto"/>
      </w:pPr>
      <w:r>
        <w:separator/>
      </w:r>
    </w:p>
  </w:endnote>
  <w:endnote w:type="continuationSeparator" w:id="0">
    <w:p w:rsidR="007170F7" w:rsidRDefault="007170F7" w:rsidP="007A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67" w:rsidRDefault="001B14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67" w:rsidRDefault="001B14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67" w:rsidRDefault="001B14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F7" w:rsidRDefault="007170F7" w:rsidP="007A7904">
      <w:pPr>
        <w:spacing w:after="0" w:line="240" w:lineRule="auto"/>
      </w:pPr>
      <w:r>
        <w:separator/>
      </w:r>
    </w:p>
  </w:footnote>
  <w:footnote w:type="continuationSeparator" w:id="0">
    <w:p w:rsidR="007170F7" w:rsidRDefault="007170F7" w:rsidP="007A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67" w:rsidRDefault="001B14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DA" w:rsidRPr="00C517DA" w:rsidRDefault="001B1467" w:rsidP="00C517DA">
    <w:pPr>
      <w:pStyle w:val="En-tte"/>
      <w:jc w:val="center"/>
      <w:rPr>
        <w:sz w:val="28"/>
        <w:szCs w:val="28"/>
      </w:rPr>
    </w:pPr>
    <w:r>
      <w:rPr>
        <w:b/>
        <w:sz w:val="28"/>
        <w:szCs w:val="28"/>
      </w:rPr>
      <w:t>TABLEAU DES DÉLAIS DE DÉLIBÉ</w:t>
    </w:r>
    <w:r w:rsidRPr="001B1467">
      <w:rPr>
        <w:b/>
        <w:sz w:val="28"/>
        <w:szCs w:val="28"/>
      </w:rPr>
      <w:t>RATION</w:t>
    </w:r>
    <w:r w:rsidR="00C517DA" w:rsidRPr="00C517DA">
      <w:rPr>
        <w:sz w:val="28"/>
        <w:szCs w:val="28"/>
      </w:rPr>
      <w:t xml:space="preserve"> </w:t>
    </w:r>
    <w:r w:rsidR="00C517DA" w:rsidRPr="00C517DA">
      <w:rPr>
        <w:b/>
        <w:sz w:val="28"/>
        <w:szCs w:val="28"/>
      </w:rPr>
      <w:t>(source</w:t>
    </w:r>
    <w:r w:rsidR="00C517DA" w:rsidRPr="00C517DA">
      <w:rPr>
        <w:rFonts w:ascii="Calibri" w:hAnsi="Calibri" w:cs="Calibri"/>
        <w:b/>
        <w:sz w:val="28"/>
        <w:szCs w:val="28"/>
      </w:rPr>
      <w:t> </w:t>
    </w:r>
    <w:r w:rsidR="00C517DA" w:rsidRPr="00C517DA">
      <w:rPr>
        <w:b/>
        <w:sz w:val="28"/>
        <w:szCs w:val="28"/>
      </w:rPr>
      <w:t>: DGCL/DLF)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67" w:rsidRDefault="001B14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8B"/>
    <w:rsid w:val="000E170E"/>
    <w:rsid w:val="001668E9"/>
    <w:rsid w:val="001838F7"/>
    <w:rsid w:val="001B1467"/>
    <w:rsid w:val="001B5E41"/>
    <w:rsid w:val="002314AE"/>
    <w:rsid w:val="002B4F01"/>
    <w:rsid w:val="002C515E"/>
    <w:rsid w:val="002F18D6"/>
    <w:rsid w:val="002F7417"/>
    <w:rsid w:val="00306E0D"/>
    <w:rsid w:val="003326CD"/>
    <w:rsid w:val="0033422B"/>
    <w:rsid w:val="00345662"/>
    <w:rsid w:val="00347D1A"/>
    <w:rsid w:val="00472B86"/>
    <w:rsid w:val="004F710C"/>
    <w:rsid w:val="00570136"/>
    <w:rsid w:val="005B3B20"/>
    <w:rsid w:val="005D10F0"/>
    <w:rsid w:val="005F5DC8"/>
    <w:rsid w:val="006326AC"/>
    <w:rsid w:val="00666EF4"/>
    <w:rsid w:val="006A5A57"/>
    <w:rsid w:val="007170F7"/>
    <w:rsid w:val="00740928"/>
    <w:rsid w:val="00774408"/>
    <w:rsid w:val="007853A2"/>
    <w:rsid w:val="007A7904"/>
    <w:rsid w:val="00847BBA"/>
    <w:rsid w:val="00856FF8"/>
    <w:rsid w:val="00870F68"/>
    <w:rsid w:val="00893D5A"/>
    <w:rsid w:val="008D4E5D"/>
    <w:rsid w:val="008E0DA3"/>
    <w:rsid w:val="00925647"/>
    <w:rsid w:val="00931490"/>
    <w:rsid w:val="00964F8B"/>
    <w:rsid w:val="0096794B"/>
    <w:rsid w:val="009B72B0"/>
    <w:rsid w:val="009E1D05"/>
    <w:rsid w:val="00A665F9"/>
    <w:rsid w:val="00B31B90"/>
    <w:rsid w:val="00C517DA"/>
    <w:rsid w:val="00C5230E"/>
    <w:rsid w:val="00C90CAE"/>
    <w:rsid w:val="00CD2468"/>
    <w:rsid w:val="00D60002"/>
    <w:rsid w:val="00D64328"/>
    <w:rsid w:val="00DD46F4"/>
    <w:rsid w:val="00E14699"/>
    <w:rsid w:val="00EA5DDA"/>
    <w:rsid w:val="00EC68E4"/>
    <w:rsid w:val="00F36A6F"/>
    <w:rsid w:val="00F4680D"/>
    <w:rsid w:val="00F55F1E"/>
    <w:rsid w:val="00FA6E32"/>
    <w:rsid w:val="00FC01A4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24C7F"/>
  <w15:chartTrackingRefBased/>
  <w15:docId w15:val="{7E494721-0CBD-4AA3-841F-1CABA3C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7904"/>
  </w:style>
  <w:style w:type="paragraph" w:styleId="Pieddepage">
    <w:name w:val="footer"/>
    <w:basedOn w:val="Normal"/>
    <w:link w:val="PieddepageCar"/>
    <w:uiPriority w:val="99"/>
    <w:unhideWhenUsed/>
    <w:rsid w:val="007A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7904"/>
  </w:style>
  <w:style w:type="character" w:styleId="Marquedecommentaire">
    <w:name w:val="annotation reference"/>
    <w:basedOn w:val="Policepardfaut"/>
    <w:uiPriority w:val="99"/>
    <w:semiHidden/>
    <w:unhideWhenUsed/>
    <w:rsid w:val="00E146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46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46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46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469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BENEZIT Valentin</dc:creator>
  <cp:keywords/>
  <dc:description/>
  <cp:lastModifiedBy>GUYOT Emmanuelle - CABINET</cp:lastModifiedBy>
  <cp:revision>22</cp:revision>
  <dcterms:created xsi:type="dcterms:W3CDTF">2025-03-14T13:26:00Z</dcterms:created>
  <dcterms:modified xsi:type="dcterms:W3CDTF">2025-04-02T10:01:00Z</dcterms:modified>
</cp:coreProperties>
</file>