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A7C84" w14:textId="77777777" w:rsidR="001E01AF" w:rsidRDefault="00AF646F">
      <w:pPr>
        <w:pStyle w:val="Titre1"/>
        <w:spacing w:before="0"/>
        <w:ind w:firstLine="709"/>
        <w:jc w:val="center"/>
        <w:rPr>
          <w:rFonts w:ascii="Marianne" w:hAnsi="Marianne"/>
          <w:b/>
          <w:color w:val="000000" w:themeColor="text1"/>
        </w:rPr>
      </w:pPr>
      <w:bookmarkStart w:id="0" w:name="_Toc192840402"/>
      <w:bookmarkStart w:id="1" w:name="_Toc192844099"/>
      <w:bookmarkStart w:id="2" w:name="_Toc192845538"/>
      <w:bookmarkStart w:id="3" w:name="_Toc192849372"/>
      <w:r>
        <w:rPr>
          <w:noProof/>
          <w:lang w:eastAsia="fr-FR"/>
        </w:rPr>
        <w:drawing>
          <wp:inline distT="0" distB="0" distL="0" distR="0" wp14:anchorId="544AEDD3" wp14:editId="59928C18">
            <wp:extent cx="3773805" cy="110363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8"/>
                    <a:stretch>
                      <a:fillRect/>
                    </a:stretch>
                  </pic:blipFill>
                  <pic:spPr bwMode="auto">
                    <a:xfrm>
                      <a:off x="0" y="0"/>
                      <a:ext cx="3773805" cy="1103630"/>
                    </a:xfrm>
                    <a:prstGeom prst="rect">
                      <a:avLst/>
                    </a:prstGeom>
                  </pic:spPr>
                </pic:pic>
              </a:graphicData>
            </a:graphic>
          </wp:inline>
        </w:drawing>
      </w:r>
      <w:bookmarkEnd w:id="0"/>
      <w:bookmarkEnd w:id="1"/>
      <w:bookmarkEnd w:id="2"/>
      <w:bookmarkEnd w:id="3"/>
    </w:p>
    <w:p w14:paraId="30679D76" w14:textId="77777777" w:rsidR="001E01AF" w:rsidRDefault="001E01AF">
      <w:pPr>
        <w:pStyle w:val="Titre1"/>
        <w:spacing w:before="0"/>
        <w:ind w:firstLine="709"/>
        <w:jc w:val="center"/>
        <w:rPr>
          <w:rFonts w:ascii="Marianne" w:hAnsi="Marianne"/>
          <w:b/>
          <w:color w:val="000000" w:themeColor="text1"/>
        </w:rPr>
      </w:pPr>
    </w:p>
    <w:p w14:paraId="1210729D" w14:textId="77777777" w:rsidR="001E01AF" w:rsidRDefault="00AF646F">
      <w:pPr>
        <w:pStyle w:val="Titre1"/>
        <w:spacing w:before="0"/>
        <w:ind w:firstLine="709"/>
        <w:jc w:val="center"/>
        <w:rPr>
          <w:rFonts w:ascii="Marianne" w:hAnsi="Marianne"/>
          <w:b/>
          <w:color w:val="000000" w:themeColor="text1"/>
        </w:rPr>
      </w:pPr>
      <w:bookmarkStart w:id="4" w:name="_Toc192840403"/>
      <w:bookmarkStart w:id="5" w:name="_Toc192844100"/>
      <w:bookmarkStart w:id="6" w:name="_Toc192845539"/>
      <w:bookmarkStart w:id="7" w:name="_Toc192849373"/>
      <w:r>
        <w:rPr>
          <w:rFonts w:ascii="Marianne" w:hAnsi="Marianne"/>
          <w:b/>
          <w:color w:val="000000" w:themeColor="text1"/>
        </w:rPr>
        <w:t xml:space="preserve">France ruralités revitalisation </w:t>
      </w:r>
      <w:r>
        <w:rPr>
          <w:rFonts w:ascii="Marianne" w:hAnsi="Marianne" w:cs="Calibri"/>
          <w:b/>
          <w:color w:val="000000" w:themeColor="text1"/>
        </w:rPr>
        <w:t>:</w:t>
      </w:r>
      <w:bookmarkEnd w:id="4"/>
      <w:bookmarkEnd w:id="5"/>
      <w:bookmarkEnd w:id="6"/>
      <w:bookmarkEnd w:id="7"/>
      <w:r>
        <w:rPr>
          <w:rFonts w:ascii="Marianne" w:hAnsi="Marianne"/>
          <w:b/>
          <w:color w:val="000000" w:themeColor="text1"/>
        </w:rPr>
        <w:t xml:space="preserve"> </w:t>
      </w:r>
    </w:p>
    <w:p w14:paraId="1C09B419" w14:textId="77777777" w:rsidR="001E01AF" w:rsidRDefault="00AF646F">
      <w:pPr>
        <w:pStyle w:val="Titre1"/>
        <w:spacing w:before="0"/>
        <w:ind w:firstLine="709"/>
        <w:jc w:val="center"/>
        <w:rPr>
          <w:rFonts w:ascii="Marianne" w:hAnsi="Marianne"/>
          <w:b/>
          <w:color w:val="000000" w:themeColor="text1"/>
        </w:rPr>
      </w:pPr>
      <w:bookmarkStart w:id="8" w:name="_Toc192840404"/>
      <w:bookmarkStart w:id="9" w:name="_Toc192844101"/>
      <w:bookmarkStart w:id="10" w:name="_Toc192845540"/>
      <w:bookmarkStart w:id="11" w:name="_Toc192849374"/>
      <w:r>
        <w:rPr>
          <w:rFonts w:ascii="Marianne" w:hAnsi="Marianne"/>
          <w:b/>
          <w:color w:val="000000" w:themeColor="text1"/>
        </w:rPr>
        <w:t>le nouveau zonage en soutien des territoires ruraux</w:t>
      </w:r>
      <w:bookmarkEnd w:id="8"/>
      <w:bookmarkEnd w:id="9"/>
      <w:bookmarkEnd w:id="10"/>
      <w:bookmarkEnd w:id="11"/>
    </w:p>
    <w:p w14:paraId="3B4EEC5D" w14:textId="77777777" w:rsidR="001E01AF" w:rsidRDefault="00AF646F">
      <w:pPr>
        <w:pStyle w:val="Titre1"/>
        <w:spacing w:before="0"/>
        <w:ind w:firstLine="709"/>
        <w:jc w:val="center"/>
        <w:rPr>
          <w:rFonts w:ascii="Marianne" w:hAnsi="Marianne"/>
          <w:i/>
          <w:color w:val="000000" w:themeColor="text1"/>
          <w:sz w:val="28"/>
        </w:rPr>
      </w:pPr>
      <w:bookmarkStart w:id="12" w:name="_Toc192840405"/>
      <w:bookmarkStart w:id="13" w:name="_Toc192844102"/>
      <w:bookmarkStart w:id="14" w:name="_Toc192845541"/>
      <w:bookmarkStart w:id="15" w:name="_Toc192849375"/>
      <w:r>
        <w:rPr>
          <w:rFonts w:ascii="Marianne" w:hAnsi="Marianne"/>
          <w:i/>
          <w:color w:val="000000" w:themeColor="text1"/>
          <w:sz w:val="28"/>
        </w:rPr>
        <w:t>Foire aux questions</w:t>
      </w:r>
      <w:bookmarkEnd w:id="12"/>
      <w:bookmarkEnd w:id="13"/>
      <w:bookmarkEnd w:id="14"/>
      <w:bookmarkEnd w:id="15"/>
    </w:p>
    <w:p w14:paraId="5DCE77FC" w14:textId="1198C9BC" w:rsidR="001E01AF" w:rsidRPr="004C47B5" w:rsidRDefault="00AF646F">
      <w:pPr>
        <w:pStyle w:val="Titre1"/>
        <w:spacing w:before="0"/>
        <w:ind w:firstLine="709"/>
        <w:jc w:val="center"/>
        <w:rPr>
          <w:rFonts w:ascii="Marianne" w:hAnsi="Marianne"/>
          <w:i/>
          <w:color w:val="000000" w:themeColor="text1"/>
          <w:sz w:val="24"/>
        </w:rPr>
      </w:pPr>
      <w:bookmarkStart w:id="16" w:name="_Toc192840406"/>
      <w:bookmarkStart w:id="17" w:name="_Toc192844103"/>
      <w:bookmarkStart w:id="18" w:name="_Toc192845542"/>
      <w:bookmarkStart w:id="19" w:name="_Toc192849376"/>
      <w:r>
        <w:rPr>
          <w:rFonts w:ascii="Marianne" w:hAnsi="Marianne"/>
          <w:i/>
          <w:color w:val="000000" w:themeColor="text1"/>
          <w:sz w:val="24"/>
        </w:rPr>
        <w:t xml:space="preserve">Version à jour au </w:t>
      </w:r>
      <w:r w:rsidR="008D36E7" w:rsidRPr="004C47B5">
        <w:rPr>
          <w:rFonts w:ascii="Marianne" w:hAnsi="Marianne"/>
          <w:i/>
          <w:color w:val="000000" w:themeColor="text1"/>
          <w:sz w:val="24"/>
        </w:rPr>
        <w:t>2</w:t>
      </w:r>
      <w:r w:rsidR="004C47B5" w:rsidRPr="004C47B5">
        <w:rPr>
          <w:rFonts w:ascii="Marianne" w:hAnsi="Marianne"/>
          <w:i/>
          <w:color w:val="000000" w:themeColor="text1"/>
          <w:sz w:val="24"/>
        </w:rPr>
        <w:t>8</w:t>
      </w:r>
      <w:r w:rsidRPr="004C47B5">
        <w:rPr>
          <w:rFonts w:ascii="Marianne" w:hAnsi="Marianne"/>
          <w:i/>
          <w:color w:val="000000" w:themeColor="text1"/>
          <w:sz w:val="24"/>
        </w:rPr>
        <w:t xml:space="preserve"> mars 2025</w:t>
      </w:r>
      <w:bookmarkEnd w:id="16"/>
      <w:bookmarkEnd w:id="17"/>
      <w:bookmarkEnd w:id="18"/>
      <w:bookmarkEnd w:id="19"/>
    </w:p>
    <w:p w14:paraId="232FE2F0" w14:textId="21DF73DE" w:rsidR="00C9219F" w:rsidRDefault="00C9219F">
      <w:pPr>
        <w:rPr>
          <w:b/>
          <w:i/>
        </w:rPr>
      </w:pPr>
    </w:p>
    <w:p w14:paraId="146CBD7B" w14:textId="2D0CAFC0" w:rsidR="00765008" w:rsidRDefault="00765008">
      <w:pPr>
        <w:rPr>
          <w:b/>
          <w:i/>
        </w:rPr>
      </w:pPr>
    </w:p>
    <w:p w14:paraId="61F34F65" w14:textId="5B632E07" w:rsidR="001E01AF" w:rsidRPr="00F71584" w:rsidRDefault="00AF646F">
      <w:pPr>
        <w:rPr>
          <w:b/>
          <w:sz w:val="24"/>
          <w:u w:val="single"/>
        </w:rPr>
      </w:pPr>
      <w:r w:rsidRPr="00F71584">
        <w:rPr>
          <w:b/>
          <w:sz w:val="24"/>
          <w:u w:val="single"/>
        </w:rPr>
        <w:t>Texte</w:t>
      </w:r>
      <w:r w:rsidR="00765008" w:rsidRPr="00F71584">
        <w:rPr>
          <w:b/>
          <w:sz w:val="24"/>
          <w:u w:val="single"/>
        </w:rPr>
        <w:t>s</w:t>
      </w:r>
      <w:r w:rsidRPr="00F71584">
        <w:rPr>
          <w:b/>
          <w:sz w:val="24"/>
          <w:u w:val="single"/>
        </w:rPr>
        <w:t xml:space="preserve"> applicable</w:t>
      </w:r>
      <w:r w:rsidR="00765008" w:rsidRPr="00F71584">
        <w:rPr>
          <w:b/>
          <w:sz w:val="24"/>
          <w:u w:val="single"/>
        </w:rPr>
        <w:t>s</w:t>
      </w:r>
    </w:p>
    <w:p w14:paraId="4E39D2D2" w14:textId="77777777" w:rsidR="001E01AF" w:rsidRPr="004C47B5" w:rsidRDefault="00AF646F">
      <w:pPr>
        <w:pStyle w:val="Paragraphedeliste"/>
        <w:numPr>
          <w:ilvl w:val="0"/>
          <w:numId w:val="3"/>
        </w:numPr>
      </w:pPr>
      <w:r w:rsidRPr="004C47B5">
        <w:t>Loi n° 2023-1322 du 29 décembre 2023 de finances pour 2024, article 73</w:t>
      </w:r>
    </w:p>
    <w:p w14:paraId="1B59A92B" w14:textId="647C8BC9" w:rsidR="001E01AF" w:rsidRPr="004C47B5" w:rsidRDefault="00AF646F">
      <w:pPr>
        <w:pStyle w:val="Paragraphedeliste"/>
        <w:numPr>
          <w:ilvl w:val="0"/>
          <w:numId w:val="3"/>
        </w:numPr>
      </w:pPr>
      <w:r w:rsidRPr="004C47B5">
        <w:t>Loi n° 2025-127 du 14 février 2025 de finances pour 2025, article 99</w:t>
      </w:r>
    </w:p>
    <w:p w14:paraId="190B9562" w14:textId="7F652B3B" w:rsidR="009A7D18" w:rsidRDefault="009A7D18" w:rsidP="001D7F77">
      <w:pPr>
        <w:jc w:val="center"/>
        <w:rPr>
          <w:highlight w:val="yellow"/>
        </w:rPr>
      </w:pPr>
    </w:p>
    <w:p w14:paraId="15F031B2" w14:textId="65EBB3F0" w:rsidR="00CB6A26" w:rsidRDefault="00CB6A26" w:rsidP="001D7F77">
      <w:pPr>
        <w:jc w:val="center"/>
        <w:rPr>
          <w:highlight w:val="yellow"/>
        </w:rPr>
      </w:pPr>
    </w:p>
    <w:p w14:paraId="2CC775B7" w14:textId="3D9E1515" w:rsidR="002C6323" w:rsidRPr="00532C5D" w:rsidRDefault="001D7F77" w:rsidP="002C6323">
      <w:pPr>
        <w:pStyle w:val="TM1"/>
        <w:tabs>
          <w:tab w:val="right" w:leader="dot" w:pos="9062"/>
        </w:tabs>
        <w:rPr>
          <w:rFonts w:asciiTheme="minorHAnsi" w:eastAsiaTheme="minorEastAsia" w:hAnsiTheme="minorHAnsi"/>
          <w:b/>
          <w:noProof/>
          <w:sz w:val="24"/>
          <w:lang w:eastAsia="fr-FR"/>
        </w:rPr>
      </w:pPr>
      <w:r>
        <w:rPr>
          <w:highlight w:val="yellow"/>
        </w:rPr>
        <w:fldChar w:fldCharType="begin"/>
      </w:r>
      <w:r>
        <w:rPr>
          <w:highlight w:val="yellow"/>
        </w:rPr>
        <w:instrText xml:space="preserve"> TOC \o "1-5" \h \z \u </w:instrText>
      </w:r>
      <w:r>
        <w:rPr>
          <w:highlight w:val="yellow"/>
        </w:rPr>
        <w:fldChar w:fldCharType="separate"/>
      </w:r>
      <w:r w:rsidR="001F0610" w:rsidRPr="00532C5D">
        <w:rPr>
          <w:rStyle w:val="Lienhypertexte"/>
          <w:b/>
          <w:noProof/>
          <w:color w:val="auto"/>
          <w:sz w:val="24"/>
        </w:rPr>
        <w:t>Sommaire</w:t>
      </w:r>
    </w:p>
    <w:p w14:paraId="08EFC7F2" w14:textId="04131EB0" w:rsidR="002C6323" w:rsidRPr="002C6323" w:rsidRDefault="002C6323">
      <w:pPr>
        <w:pStyle w:val="TM1"/>
        <w:tabs>
          <w:tab w:val="right" w:leader="dot" w:pos="9062"/>
        </w:tabs>
        <w:rPr>
          <w:rFonts w:asciiTheme="minorHAnsi" w:eastAsiaTheme="minorEastAsia" w:hAnsiTheme="minorHAnsi"/>
          <w:b/>
          <w:noProof/>
          <w:lang w:eastAsia="fr-FR"/>
        </w:rPr>
      </w:pPr>
    </w:p>
    <w:p w14:paraId="71D6539F" w14:textId="239B3853" w:rsidR="002C6323" w:rsidRPr="00532C5D" w:rsidRDefault="00AE1A41">
      <w:pPr>
        <w:pStyle w:val="TM2"/>
        <w:tabs>
          <w:tab w:val="left" w:pos="850"/>
          <w:tab w:val="right" w:leader="dot" w:pos="9062"/>
        </w:tabs>
        <w:rPr>
          <w:rFonts w:asciiTheme="minorHAnsi" w:eastAsiaTheme="minorEastAsia" w:hAnsiTheme="minorHAnsi"/>
          <w:noProof/>
          <w:lang w:eastAsia="fr-FR"/>
        </w:rPr>
      </w:pPr>
      <w:hyperlink w:anchor="_Toc192849377" w:history="1">
        <w:r w:rsidR="002C6323" w:rsidRPr="00532C5D">
          <w:rPr>
            <w:rStyle w:val="Lienhypertexte"/>
            <w:b/>
            <w:noProof/>
          </w:rPr>
          <w:t>1.</w:t>
        </w:r>
        <w:r w:rsidR="002C6323" w:rsidRPr="00532C5D">
          <w:rPr>
            <w:rFonts w:asciiTheme="minorHAnsi" w:eastAsiaTheme="minorEastAsia" w:hAnsiTheme="minorHAnsi"/>
            <w:b/>
            <w:noProof/>
            <w:lang w:eastAsia="fr-FR"/>
          </w:rPr>
          <w:tab/>
        </w:r>
        <w:r w:rsidR="002C6323" w:rsidRPr="00532C5D">
          <w:rPr>
            <w:rStyle w:val="Lienhypertexte"/>
            <w:b/>
            <w:noProof/>
          </w:rPr>
          <w:t>France ruralités revitalisation</w:t>
        </w:r>
        <w:r w:rsidR="002C6323" w:rsidRPr="00532C5D">
          <w:rPr>
            <w:rStyle w:val="Lienhypertexte"/>
            <w:rFonts w:ascii="Calibri" w:hAnsi="Calibri" w:cs="Calibri"/>
            <w:b/>
            <w:noProof/>
          </w:rPr>
          <w:t> </w:t>
        </w:r>
        <w:r w:rsidR="002C6323" w:rsidRPr="00532C5D">
          <w:rPr>
            <w:rStyle w:val="Lienhypertexte"/>
            <w:b/>
            <w:noProof/>
          </w:rPr>
          <w:t>: qu’est-ce que c’est</w:t>
        </w:r>
        <w:r w:rsidR="002C6323" w:rsidRPr="00532C5D">
          <w:rPr>
            <w:rStyle w:val="Lienhypertexte"/>
            <w:rFonts w:ascii="Calibri" w:hAnsi="Calibri" w:cs="Calibri"/>
            <w:b/>
            <w:noProof/>
          </w:rPr>
          <w:t> </w:t>
        </w:r>
        <w:r w:rsidR="002C6323" w:rsidRPr="00532C5D">
          <w:rPr>
            <w:rStyle w:val="Lienhypertexte"/>
            <w:b/>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_Toc192849377 \h </w:instrText>
        </w:r>
        <w:r w:rsidR="002C6323" w:rsidRPr="00532C5D">
          <w:rPr>
            <w:noProof/>
            <w:webHidden/>
          </w:rPr>
        </w:r>
        <w:r w:rsidR="002C6323" w:rsidRPr="00532C5D">
          <w:rPr>
            <w:noProof/>
            <w:webHidden/>
          </w:rPr>
          <w:fldChar w:fldCharType="separate"/>
        </w:r>
        <w:r>
          <w:rPr>
            <w:noProof/>
            <w:webHidden/>
          </w:rPr>
          <w:t>3</w:t>
        </w:r>
        <w:r w:rsidR="002C6323" w:rsidRPr="00532C5D">
          <w:rPr>
            <w:noProof/>
            <w:webHidden/>
          </w:rPr>
          <w:fldChar w:fldCharType="end"/>
        </w:r>
      </w:hyperlink>
    </w:p>
    <w:p w14:paraId="4652EA41" w14:textId="050E5163" w:rsidR="002C6323" w:rsidRPr="00532C5D" w:rsidRDefault="00AE1A41">
      <w:pPr>
        <w:pStyle w:val="TM3"/>
        <w:tabs>
          <w:tab w:val="left" w:pos="1134"/>
          <w:tab w:val="right" w:leader="dot" w:pos="9062"/>
        </w:tabs>
        <w:rPr>
          <w:rFonts w:asciiTheme="minorHAnsi" w:eastAsiaTheme="minorEastAsia" w:hAnsiTheme="minorHAnsi"/>
          <w:noProof/>
          <w:lang w:eastAsia="fr-FR"/>
        </w:rPr>
      </w:pPr>
      <w:hyperlink w:anchor="_Toc192849378" w:history="1">
        <w:r w:rsidR="002C6323" w:rsidRPr="00532C5D">
          <w:rPr>
            <w:rStyle w:val="Lienhypertexte"/>
            <w:noProof/>
          </w:rPr>
          <w:t>1.1.</w:t>
        </w:r>
        <w:r w:rsidR="002C6323" w:rsidRPr="00532C5D">
          <w:rPr>
            <w:rFonts w:asciiTheme="minorHAnsi" w:eastAsiaTheme="minorEastAsia" w:hAnsiTheme="minorHAnsi"/>
            <w:noProof/>
            <w:lang w:eastAsia="fr-FR"/>
          </w:rPr>
          <w:tab/>
        </w:r>
        <w:r w:rsidR="002C6323" w:rsidRPr="00532C5D">
          <w:rPr>
            <w:rStyle w:val="Lienhypertexte"/>
            <w:noProof/>
          </w:rPr>
          <w:t>Pourquoi un nouveau zonage</w:t>
        </w:r>
        <w:r w:rsidR="002C6323" w:rsidRPr="00532C5D">
          <w:rPr>
            <w:rStyle w:val="Lienhypertexte"/>
            <w:rFonts w:ascii="Calibri" w:hAnsi="Calibri" w:cs="Calibri"/>
            <w:noProof/>
          </w:rPr>
          <w:t> </w:t>
        </w:r>
        <w:r w:rsidR="002C6323" w:rsidRPr="00532C5D">
          <w:rPr>
            <w:rStyle w:val="Lienhypertexte"/>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_Toc192849378 \h </w:instrText>
        </w:r>
        <w:r w:rsidR="002C6323" w:rsidRPr="00532C5D">
          <w:rPr>
            <w:noProof/>
            <w:webHidden/>
          </w:rPr>
        </w:r>
        <w:r w:rsidR="002C6323" w:rsidRPr="00532C5D">
          <w:rPr>
            <w:noProof/>
            <w:webHidden/>
          </w:rPr>
          <w:fldChar w:fldCharType="separate"/>
        </w:r>
        <w:r>
          <w:rPr>
            <w:noProof/>
            <w:webHidden/>
          </w:rPr>
          <w:t>3</w:t>
        </w:r>
        <w:r w:rsidR="002C6323" w:rsidRPr="00532C5D">
          <w:rPr>
            <w:noProof/>
            <w:webHidden/>
          </w:rPr>
          <w:fldChar w:fldCharType="end"/>
        </w:r>
      </w:hyperlink>
    </w:p>
    <w:p w14:paraId="75F1A43D" w14:textId="02D2A67C"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379" w:history="1">
        <w:r w:rsidR="002C6323" w:rsidRPr="00532C5D">
          <w:rPr>
            <w:rStyle w:val="Lienhypertexte"/>
            <w:rFonts w:cs="Calibri"/>
            <w:noProof/>
          </w:rPr>
          <w:t>1.2.</w:t>
        </w:r>
        <w:r w:rsidR="00B43214" w:rsidRPr="00532C5D">
          <w:rPr>
            <w:rFonts w:asciiTheme="minorHAnsi" w:eastAsiaTheme="minorEastAsia" w:hAnsiTheme="minorHAnsi"/>
            <w:noProof/>
            <w:lang w:eastAsia="fr-FR"/>
          </w:rPr>
          <w:t xml:space="preserve">    </w:t>
        </w:r>
        <w:r w:rsidR="002C6323" w:rsidRPr="00532C5D">
          <w:rPr>
            <w:rStyle w:val="Lienhypertexte"/>
            <w:noProof/>
          </w:rPr>
          <w:t>Comment le zonage</w:t>
        </w:r>
        <w:r w:rsidR="002C6323" w:rsidRPr="00532C5D">
          <w:rPr>
            <w:rStyle w:val="Lienhypertexte"/>
            <w:rFonts w:ascii="Calibri" w:hAnsi="Calibri" w:cs="Calibri"/>
            <w:noProof/>
          </w:rPr>
          <w:t> </w:t>
        </w:r>
        <w:r w:rsidR="002C6323" w:rsidRPr="00532C5D">
          <w:rPr>
            <w:rStyle w:val="Lienhypertexte"/>
            <w:noProof/>
          </w:rPr>
          <w:t>a-t-il été déterminé ?</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_Toc192849379 \h </w:instrText>
        </w:r>
        <w:r w:rsidR="002C6323" w:rsidRPr="00532C5D">
          <w:rPr>
            <w:noProof/>
            <w:webHidden/>
          </w:rPr>
        </w:r>
        <w:r w:rsidR="002C6323" w:rsidRPr="00532C5D">
          <w:rPr>
            <w:noProof/>
            <w:webHidden/>
          </w:rPr>
          <w:fldChar w:fldCharType="separate"/>
        </w:r>
        <w:r>
          <w:rPr>
            <w:noProof/>
            <w:webHidden/>
          </w:rPr>
          <w:t>3</w:t>
        </w:r>
        <w:r w:rsidR="002C6323" w:rsidRPr="00532C5D">
          <w:rPr>
            <w:noProof/>
            <w:webHidden/>
          </w:rPr>
          <w:fldChar w:fldCharType="end"/>
        </w:r>
      </w:hyperlink>
    </w:p>
    <w:p w14:paraId="61C9C3C4" w14:textId="77777777" w:rsidR="002C6323" w:rsidRPr="00532C5D" w:rsidRDefault="002C6323">
      <w:pPr>
        <w:pStyle w:val="TM2"/>
        <w:tabs>
          <w:tab w:val="left" w:pos="850"/>
          <w:tab w:val="right" w:leader="dot" w:pos="9062"/>
        </w:tabs>
        <w:rPr>
          <w:rStyle w:val="Lienhypertexte"/>
          <w:noProof/>
        </w:rPr>
      </w:pPr>
    </w:p>
    <w:p w14:paraId="5236B630" w14:textId="329E87A5" w:rsidR="002C6323" w:rsidRPr="00532C5D" w:rsidRDefault="00AE1A41">
      <w:pPr>
        <w:pStyle w:val="TM2"/>
        <w:tabs>
          <w:tab w:val="left" w:pos="850"/>
          <w:tab w:val="right" w:leader="dot" w:pos="9062"/>
        </w:tabs>
        <w:rPr>
          <w:rFonts w:asciiTheme="minorHAnsi" w:eastAsiaTheme="minorEastAsia" w:hAnsiTheme="minorHAnsi"/>
          <w:noProof/>
          <w:lang w:eastAsia="fr-FR"/>
        </w:rPr>
      </w:pPr>
      <w:hyperlink w:anchor="_Toc192849380" w:history="1">
        <w:r w:rsidR="002C6323" w:rsidRPr="00532C5D">
          <w:rPr>
            <w:rStyle w:val="Lienhypertexte"/>
            <w:b/>
            <w:noProof/>
          </w:rPr>
          <w:t>2.</w:t>
        </w:r>
        <w:r w:rsidR="002C6323" w:rsidRPr="00532C5D">
          <w:rPr>
            <w:rFonts w:asciiTheme="minorHAnsi" w:eastAsiaTheme="minorEastAsia" w:hAnsiTheme="minorHAnsi"/>
            <w:b/>
            <w:noProof/>
            <w:lang w:eastAsia="fr-FR"/>
          </w:rPr>
          <w:tab/>
        </w:r>
        <w:r w:rsidR="002C6323" w:rsidRPr="00532C5D">
          <w:rPr>
            <w:rStyle w:val="Lienhypertexte"/>
            <w:b/>
            <w:noProof/>
          </w:rPr>
          <w:t>Un zonage à deux niveaux pour aider les communes en fonction de leurs besoins</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_Toc192849380 \h </w:instrText>
        </w:r>
        <w:r w:rsidR="002C6323" w:rsidRPr="00532C5D">
          <w:rPr>
            <w:noProof/>
            <w:webHidden/>
          </w:rPr>
        </w:r>
        <w:r w:rsidR="002C6323" w:rsidRPr="00532C5D">
          <w:rPr>
            <w:noProof/>
            <w:webHidden/>
          </w:rPr>
          <w:fldChar w:fldCharType="separate"/>
        </w:r>
        <w:r>
          <w:rPr>
            <w:noProof/>
            <w:webHidden/>
          </w:rPr>
          <w:t>4</w:t>
        </w:r>
        <w:r w:rsidR="002C6323" w:rsidRPr="00532C5D">
          <w:rPr>
            <w:noProof/>
            <w:webHidden/>
          </w:rPr>
          <w:fldChar w:fldCharType="end"/>
        </w:r>
      </w:hyperlink>
    </w:p>
    <w:p w14:paraId="25FAFEFA" w14:textId="77777777" w:rsidR="002C6323" w:rsidRPr="00532C5D" w:rsidRDefault="002C6323">
      <w:pPr>
        <w:pStyle w:val="TM2"/>
        <w:tabs>
          <w:tab w:val="left" w:pos="850"/>
          <w:tab w:val="right" w:leader="dot" w:pos="9062"/>
        </w:tabs>
        <w:rPr>
          <w:rStyle w:val="Lienhypertexte"/>
          <w:noProof/>
        </w:rPr>
      </w:pPr>
    </w:p>
    <w:p w14:paraId="17F83D5C" w14:textId="0B47E188" w:rsidR="002C6323" w:rsidRPr="00532C5D" w:rsidRDefault="00AE1A41">
      <w:pPr>
        <w:pStyle w:val="TM2"/>
        <w:tabs>
          <w:tab w:val="left" w:pos="850"/>
          <w:tab w:val="right" w:leader="dot" w:pos="9062"/>
        </w:tabs>
        <w:rPr>
          <w:rFonts w:asciiTheme="minorHAnsi" w:eastAsiaTheme="minorEastAsia" w:hAnsiTheme="minorHAnsi"/>
          <w:noProof/>
          <w:lang w:eastAsia="fr-FR"/>
        </w:rPr>
      </w:pPr>
      <w:hyperlink w:anchor="_Toc192849381" w:history="1">
        <w:r w:rsidR="002C6323" w:rsidRPr="00532C5D">
          <w:rPr>
            <w:rStyle w:val="Lienhypertexte"/>
            <w:b/>
            <w:noProof/>
          </w:rPr>
          <w:t>3.</w:t>
        </w:r>
        <w:r w:rsidR="002C6323" w:rsidRPr="00532C5D">
          <w:rPr>
            <w:rFonts w:asciiTheme="minorHAnsi" w:eastAsiaTheme="minorEastAsia" w:hAnsiTheme="minorHAnsi"/>
            <w:b/>
            <w:noProof/>
            <w:lang w:eastAsia="fr-FR"/>
          </w:rPr>
          <w:tab/>
        </w:r>
        <w:r w:rsidR="002C6323" w:rsidRPr="00532C5D">
          <w:rPr>
            <w:rStyle w:val="Lienhypertexte"/>
            <w:b/>
            <w:noProof/>
          </w:rPr>
          <w:t>Les critères de classement en FRR</w:t>
        </w:r>
        <w:r w:rsidR="002C6323" w:rsidRPr="00532C5D">
          <w:rPr>
            <w:rStyle w:val="Lienhypertexte"/>
            <w:rFonts w:ascii="Calibri" w:hAnsi="Calibri" w:cs="Calibri"/>
            <w:b/>
            <w:noProof/>
          </w:rPr>
          <w:t> </w:t>
        </w:r>
        <w:r w:rsidR="002C6323" w:rsidRPr="00532C5D">
          <w:rPr>
            <w:rStyle w:val="Lienhypertexte"/>
            <w:b/>
            <w:noProof/>
          </w:rPr>
          <w:t>: sur quels critères les communes sont-elles zonées</w:t>
        </w:r>
        <w:r w:rsidR="002C6323" w:rsidRPr="00532C5D">
          <w:rPr>
            <w:rStyle w:val="Lienhypertexte"/>
            <w:rFonts w:ascii="Calibri" w:hAnsi="Calibri" w:cs="Calibri"/>
            <w:b/>
            <w:noProof/>
          </w:rPr>
          <w:t> </w:t>
        </w:r>
        <w:r w:rsidR="002C6323" w:rsidRPr="00532C5D">
          <w:rPr>
            <w:rStyle w:val="Lienhypertexte"/>
            <w:b/>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_Toc192849381 \h </w:instrText>
        </w:r>
        <w:r w:rsidR="002C6323" w:rsidRPr="00532C5D">
          <w:rPr>
            <w:noProof/>
            <w:webHidden/>
          </w:rPr>
        </w:r>
        <w:r w:rsidR="002C6323" w:rsidRPr="00532C5D">
          <w:rPr>
            <w:noProof/>
            <w:webHidden/>
          </w:rPr>
          <w:fldChar w:fldCharType="separate"/>
        </w:r>
        <w:r>
          <w:rPr>
            <w:noProof/>
            <w:webHidden/>
          </w:rPr>
          <w:t>4</w:t>
        </w:r>
        <w:r w:rsidR="002C6323" w:rsidRPr="00532C5D">
          <w:rPr>
            <w:noProof/>
            <w:webHidden/>
          </w:rPr>
          <w:fldChar w:fldCharType="end"/>
        </w:r>
      </w:hyperlink>
    </w:p>
    <w:p w14:paraId="2956B7CF" w14:textId="2C4CEA8A"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382" w:history="1">
        <w:r w:rsidR="002C6323" w:rsidRPr="00532C5D">
          <w:rPr>
            <w:rStyle w:val="Lienhypertexte"/>
            <w:noProof/>
          </w:rPr>
          <w:t>3.1.</w:t>
        </w:r>
        <w:r w:rsidR="002C6323" w:rsidRPr="00532C5D">
          <w:rPr>
            <w:rFonts w:asciiTheme="minorHAnsi" w:eastAsiaTheme="minorEastAsia" w:hAnsiTheme="minorHAnsi"/>
            <w:noProof/>
            <w:lang w:eastAsia="fr-FR"/>
          </w:rPr>
          <w:tab/>
        </w:r>
        <w:r w:rsidR="002C6323" w:rsidRPr="00532C5D">
          <w:rPr>
            <w:rStyle w:val="Lienhypertexte"/>
            <w:noProof/>
          </w:rPr>
          <w:t>Communes classées en zone France ruralités revitalisation «</w:t>
        </w:r>
        <w:r w:rsidR="002C6323" w:rsidRPr="00532C5D">
          <w:rPr>
            <w:rStyle w:val="Lienhypertexte"/>
            <w:rFonts w:ascii="Calibri" w:hAnsi="Calibri" w:cs="Calibri"/>
            <w:noProof/>
          </w:rPr>
          <w:t> </w:t>
        </w:r>
        <w:r w:rsidR="002C6323" w:rsidRPr="00532C5D">
          <w:rPr>
            <w:rStyle w:val="Lienhypertexte"/>
            <w:noProof/>
          </w:rPr>
          <w:t>socle</w:t>
        </w:r>
        <w:r w:rsidR="002C6323" w:rsidRPr="00532C5D">
          <w:rPr>
            <w:rStyle w:val="Lienhypertexte"/>
            <w:rFonts w:ascii="Calibri" w:hAnsi="Calibri" w:cs="Calibri"/>
            <w:noProof/>
          </w:rPr>
          <w:t> </w:t>
        </w:r>
        <w:r w:rsidR="002C6323" w:rsidRPr="00532C5D">
          <w:rPr>
            <w:rStyle w:val="Lienhypertexte"/>
            <w:rFonts w:cs="Marianne"/>
            <w:noProof/>
          </w:rPr>
          <w:t>»</w:t>
        </w:r>
        <w:r w:rsidR="002C6323" w:rsidRPr="00532C5D">
          <w:rPr>
            <w:rStyle w:val="Lienhypertexte"/>
            <w:noProof/>
          </w:rPr>
          <w:t xml:space="preserve"> en application des critères adoptés en loi de finances pour 2024 </w:t>
        </w:r>
        <w:r w:rsidR="002C6323" w:rsidRPr="00532C5D">
          <w:rPr>
            <w:rStyle w:val="Lienhypertexte"/>
            <w:rFonts w:cs="Marianne"/>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_Toc192849382 \h </w:instrText>
        </w:r>
        <w:r w:rsidR="002C6323" w:rsidRPr="00532C5D">
          <w:rPr>
            <w:noProof/>
            <w:webHidden/>
          </w:rPr>
        </w:r>
        <w:r w:rsidR="002C6323" w:rsidRPr="00532C5D">
          <w:rPr>
            <w:noProof/>
            <w:webHidden/>
          </w:rPr>
          <w:fldChar w:fldCharType="separate"/>
        </w:r>
        <w:r>
          <w:rPr>
            <w:noProof/>
            <w:webHidden/>
          </w:rPr>
          <w:t>5</w:t>
        </w:r>
        <w:r w:rsidR="002C6323" w:rsidRPr="00532C5D">
          <w:rPr>
            <w:noProof/>
            <w:webHidden/>
          </w:rPr>
          <w:fldChar w:fldCharType="end"/>
        </w:r>
      </w:hyperlink>
    </w:p>
    <w:p w14:paraId="015A99A3" w14:textId="77777777" w:rsidR="002C6323" w:rsidRPr="00532C5D" w:rsidRDefault="002C6323">
      <w:pPr>
        <w:pStyle w:val="TM3"/>
        <w:tabs>
          <w:tab w:val="left" w:pos="1417"/>
          <w:tab w:val="right" w:leader="dot" w:pos="9062"/>
        </w:tabs>
        <w:rPr>
          <w:rStyle w:val="Lienhypertexte"/>
          <w:noProof/>
        </w:rPr>
      </w:pPr>
    </w:p>
    <w:p w14:paraId="7ED63B50" w14:textId="16A7119B"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383" w:history="1">
        <w:r w:rsidR="002C6323" w:rsidRPr="00532C5D">
          <w:rPr>
            <w:rStyle w:val="Lienhypertexte"/>
            <w:noProof/>
            <w:lang w:eastAsia="fr-FR"/>
          </w:rPr>
          <w:t>3.2.</w:t>
        </w:r>
        <w:r w:rsidR="002C6323" w:rsidRPr="00532C5D">
          <w:rPr>
            <w:rFonts w:asciiTheme="minorHAnsi" w:eastAsiaTheme="minorEastAsia" w:hAnsiTheme="minorHAnsi"/>
            <w:noProof/>
            <w:lang w:eastAsia="fr-FR"/>
          </w:rPr>
          <w:tab/>
        </w:r>
        <w:r w:rsidR="002C6323" w:rsidRPr="00532C5D">
          <w:rPr>
            <w:rStyle w:val="Lienhypertexte"/>
            <w:noProof/>
            <w:lang w:eastAsia="fr-FR"/>
          </w:rPr>
          <w:t>Mesures d’ajustement adoptées en loi de finances pour 2025</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_Toc192849383 \h </w:instrText>
        </w:r>
        <w:r w:rsidR="002C6323" w:rsidRPr="00532C5D">
          <w:rPr>
            <w:noProof/>
            <w:webHidden/>
          </w:rPr>
        </w:r>
        <w:r w:rsidR="002C6323" w:rsidRPr="00532C5D">
          <w:rPr>
            <w:noProof/>
            <w:webHidden/>
          </w:rPr>
          <w:fldChar w:fldCharType="separate"/>
        </w:r>
        <w:r>
          <w:rPr>
            <w:noProof/>
            <w:webHidden/>
          </w:rPr>
          <w:t>7</w:t>
        </w:r>
        <w:r w:rsidR="002C6323" w:rsidRPr="00532C5D">
          <w:rPr>
            <w:noProof/>
            <w:webHidden/>
          </w:rPr>
          <w:fldChar w:fldCharType="end"/>
        </w:r>
      </w:hyperlink>
    </w:p>
    <w:p w14:paraId="7BAE7853" w14:textId="2016150B" w:rsidR="002C6323" w:rsidRPr="00532C5D" w:rsidRDefault="00AE1A41">
      <w:pPr>
        <w:pStyle w:val="TM4"/>
        <w:tabs>
          <w:tab w:val="left" w:pos="1417"/>
          <w:tab w:val="right" w:leader="dot" w:pos="9062"/>
        </w:tabs>
        <w:rPr>
          <w:rFonts w:asciiTheme="minorHAnsi" w:eastAsiaTheme="minorEastAsia" w:hAnsiTheme="minorHAnsi"/>
          <w:noProof/>
          <w:lang w:eastAsia="fr-FR"/>
        </w:rPr>
      </w:pPr>
      <w:hyperlink w:anchor="_Toc192849384" w:history="1">
        <w:r w:rsidR="002C6323" w:rsidRPr="00532C5D">
          <w:rPr>
            <w:rStyle w:val="Lienhypertexte"/>
            <w:noProof/>
            <w:lang w:eastAsia="fr-FR"/>
          </w:rPr>
          <w:t>a)</w:t>
        </w:r>
        <w:r w:rsidR="002C6323" w:rsidRPr="00532C5D">
          <w:rPr>
            <w:rFonts w:asciiTheme="minorHAnsi" w:eastAsiaTheme="minorEastAsia" w:hAnsiTheme="minorHAnsi"/>
            <w:noProof/>
            <w:lang w:eastAsia="fr-FR"/>
          </w:rPr>
          <w:tab/>
        </w:r>
        <w:r w:rsidR="002C6323" w:rsidRPr="00532C5D">
          <w:rPr>
            <w:rStyle w:val="Lienhypertexte"/>
            <w:noProof/>
            <w:lang w:eastAsia="fr-FR"/>
          </w:rPr>
          <w:t>Les modalités complémentaires de classement en FRR «</w:t>
        </w:r>
        <w:r w:rsidR="002C6323" w:rsidRPr="00532C5D">
          <w:rPr>
            <w:rStyle w:val="Lienhypertexte"/>
            <w:rFonts w:ascii="Calibri" w:hAnsi="Calibri" w:cs="Calibri"/>
            <w:noProof/>
            <w:lang w:eastAsia="fr-FR"/>
          </w:rPr>
          <w:t> </w:t>
        </w:r>
        <w:r w:rsidR="002C6323" w:rsidRPr="00532C5D">
          <w:rPr>
            <w:rStyle w:val="Lienhypertexte"/>
            <w:noProof/>
            <w:lang w:eastAsia="fr-FR"/>
          </w:rPr>
          <w:t>socle</w:t>
        </w:r>
        <w:r w:rsidR="002C6323" w:rsidRPr="00532C5D">
          <w:rPr>
            <w:rStyle w:val="Lienhypertexte"/>
            <w:rFonts w:ascii="Calibri" w:hAnsi="Calibri" w:cs="Calibri"/>
            <w:noProof/>
            <w:lang w:eastAsia="fr-FR"/>
          </w:rPr>
          <w:t> </w:t>
        </w:r>
        <w:r w:rsidR="002C6323" w:rsidRPr="00532C5D">
          <w:rPr>
            <w:rStyle w:val="Lienhypertexte"/>
            <w:rFonts w:cs="Marianne"/>
            <w:noProof/>
            <w:lang w:eastAsia="fr-FR"/>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_Toc192849384 \h </w:instrText>
        </w:r>
        <w:r w:rsidR="002C6323" w:rsidRPr="00532C5D">
          <w:rPr>
            <w:noProof/>
            <w:webHidden/>
          </w:rPr>
        </w:r>
        <w:r w:rsidR="002C6323" w:rsidRPr="00532C5D">
          <w:rPr>
            <w:noProof/>
            <w:webHidden/>
          </w:rPr>
          <w:fldChar w:fldCharType="separate"/>
        </w:r>
        <w:r>
          <w:rPr>
            <w:noProof/>
            <w:webHidden/>
          </w:rPr>
          <w:t>7</w:t>
        </w:r>
        <w:r w:rsidR="002C6323" w:rsidRPr="00532C5D">
          <w:rPr>
            <w:noProof/>
            <w:webHidden/>
          </w:rPr>
          <w:fldChar w:fldCharType="end"/>
        </w:r>
      </w:hyperlink>
    </w:p>
    <w:p w14:paraId="6F4B098D" w14:textId="3AC7611A" w:rsidR="002C6323" w:rsidRPr="00532C5D" w:rsidRDefault="00AE1A41">
      <w:pPr>
        <w:pStyle w:val="TM4"/>
        <w:tabs>
          <w:tab w:val="left" w:pos="1417"/>
          <w:tab w:val="right" w:leader="dot" w:pos="9062"/>
        </w:tabs>
        <w:rPr>
          <w:rFonts w:asciiTheme="minorHAnsi" w:eastAsiaTheme="minorEastAsia" w:hAnsiTheme="minorHAnsi"/>
          <w:noProof/>
          <w:lang w:eastAsia="fr-FR"/>
        </w:rPr>
      </w:pPr>
      <w:hyperlink w:anchor="_Toc192849385" w:history="1">
        <w:r w:rsidR="002C6323" w:rsidRPr="00532C5D">
          <w:rPr>
            <w:rStyle w:val="Lienhypertexte"/>
            <w:noProof/>
          </w:rPr>
          <w:t>b)</w:t>
        </w:r>
        <w:r w:rsidR="002C6323" w:rsidRPr="00532C5D">
          <w:rPr>
            <w:rFonts w:asciiTheme="minorHAnsi" w:eastAsiaTheme="minorEastAsia" w:hAnsiTheme="minorHAnsi"/>
            <w:noProof/>
            <w:lang w:eastAsia="fr-FR"/>
          </w:rPr>
          <w:tab/>
        </w:r>
        <w:r w:rsidR="002C6323" w:rsidRPr="00532C5D">
          <w:rPr>
            <w:rStyle w:val="Lienhypertexte"/>
            <w:noProof/>
          </w:rPr>
          <w:t>La prise en compte des communes FRR «</w:t>
        </w:r>
        <w:r w:rsidR="002C6323" w:rsidRPr="00532C5D">
          <w:rPr>
            <w:rStyle w:val="Lienhypertexte"/>
            <w:rFonts w:ascii="Calibri" w:hAnsi="Calibri" w:cs="Calibri"/>
            <w:noProof/>
          </w:rPr>
          <w:t> </w:t>
        </w:r>
        <w:r w:rsidR="002C6323" w:rsidRPr="00532C5D">
          <w:rPr>
            <w:rStyle w:val="Lienhypertexte"/>
            <w:noProof/>
          </w:rPr>
          <w:t>bénéficiaires</w:t>
        </w:r>
        <w:r w:rsidR="002C6323" w:rsidRPr="00532C5D">
          <w:rPr>
            <w:rStyle w:val="Lienhypertexte"/>
            <w:rFonts w:ascii="Calibri" w:hAnsi="Calibri" w:cs="Calibri"/>
            <w:noProof/>
          </w:rPr>
          <w:t> </w:t>
        </w:r>
        <w:r w:rsidR="002C6323" w:rsidRPr="00532C5D">
          <w:rPr>
            <w:rStyle w:val="Lienhypertexte"/>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_Toc192849385 \h </w:instrText>
        </w:r>
        <w:r w:rsidR="002C6323" w:rsidRPr="00532C5D">
          <w:rPr>
            <w:noProof/>
            <w:webHidden/>
          </w:rPr>
        </w:r>
        <w:r w:rsidR="002C6323" w:rsidRPr="00532C5D">
          <w:rPr>
            <w:noProof/>
            <w:webHidden/>
          </w:rPr>
          <w:fldChar w:fldCharType="separate"/>
        </w:r>
        <w:r>
          <w:rPr>
            <w:noProof/>
            <w:webHidden/>
          </w:rPr>
          <w:t>8</w:t>
        </w:r>
        <w:r w:rsidR="002C6323" w:rsidRPr="00532C5D">
          <w:rPr>
            <w:noProof/>
            <w:webHidden/>
          </w:rPr>
          <w:fldChar w:fldCharType="end"/>
        </w:r>
      </w:hyperlink>
    </w:p>
    <w:p w14:paraId="0BEECF4D" w14:textId="77777777" w:rsidR="002C6323" w:rsidRPr="00532C5D" w:rsidRDefault="002C6323">
      <w:pPr>
        <w:pStyle w:val="TM2"/>
        <w:tabs>
          <w:tab w:val="left" w:pos="850"/>
          <w:tab w:val="right" w:leader="dot" w:pos="9062"/>
        </w:tabs>
        <w:rPr>
          <w:rStyle w:val="Lienhypertexte"/>
          <w:noProof/>
        </w:rPr>
      </w:pPr>
    </w:p>
    <w:p w14:paraId="2CBA5ABD" w14:textId="25FF9F10" w:rsidR="002C6323" w:rsidRPr="00532C5D" w:rsidRDefault="00AE1A41">
      <w:pPr>
        <w:pStyle w:val="TM2"/>
        <w:tabs>
          <w:tab w:val="left" w:pos="850"/>
          <w:tab w:val="right" w:leader="dot" w:pos="9062"/>
        </w:tabs>
        <w:rPr>
          <w:rFonts w:asciiTheme="minorHAnsi" w:eastAsiaTheme="minorEastAsia" w:hAnsiTheme="minorHAnsi"/>
          <w:noProof/>
          <w:lang w:eastAsia="fr-FR"/>
        </w:rPr>
      </w:pPr>
      <w:hyperlink w:anchor="_Toc192849386" w:history="1">
        <w:r w:rsidR="002C6323" w:rsidRPr="00532C5D">
          <w:rPr>
            <w:rStyle w:val="Lienhypertexte"/>
            <w:b/>
            <w:noProof/>
          </w:rPr>
          <w:t>4.</w:t>
        </w:r>
        <w:r w:rsidR="002C6323" w:rsidRPr="00532C5D">
          <w:rPr>
            <w:rFonts w:asciiTheme="minorHAnsi" w:eastAsiaTheme="minorEastAsia" w:hAnsiTheme="minorHAnsi"/>
            <w:b/>
            <w:noProof/>
            <w:lang w:eastAsia="fr-FR"/>
          </w:rPr>
          <w:tab/>
        </w:r>
        <w:r w:rsidR="002C6323" w:rsidRPr="00532C5D">
          <w:rPr>
            <w:rStyle w:val="Lienhypertexte"/>
            <w:b/>
            <w:noProof/>
          </w:rPr>
          <w:t>France ruralités revitalisation</w:t>
        </w:r>
        <w:r w:rsidR="002C6323" w:rsidRPr="00532C5D">
          <w:rPr>
            <w:rStyle w:val="Lienhypertexte"/>
            <w:rFonts w:ascii="Calibri" w:hAnsi="Calibri" w:cs="Calibri"/>
            <w:b/>
            <w:noProof/>
          </w:rPr>
          <w:t> </w:t>
        </w:r>
        <w:r w:rsidR="002C6323" w:rsidRPr="00532C5D">
          <w:rPr>
            <w:rStyle w:val="Lienhypertexte"/>
            <w:b/>
            <w:noProof/>
          </w:rPr>
          <w:t>: quels avantages</w:t>
        </w:r>
        <w:r w:rsidR="002C6323" w:rsidRPr="00532C5D">
          <w:rPr>
            <w:rStyle w:val="Lienhypertexte"/>
            <w:rFonts w:ascii="Calibri" w:hAnsi="Calibri" w:cs="Calibri"/>
            <w:b/>
            <w:noProof/>
          </w:rPr>
          <w:t> </w:t>
        </w:r>
        <w:r w:rsidR="002C6323" w:rsidRPr="00532C5D">
          <w:rPr>
            <w:rStyle w:val="Lienhypertexte"/>
            <w:b/>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_Toc192849386 \h </w:instrText>
        </w:r>
        <w:r w:rsidR="002C6323" w:rsidRPr="00532C5D">
          <w:rPr>
            <w:noProof/>
            <w:webHidden/>
          </w:rPr>
        </w:r>
        <w:r w:rsidR="002C6323" w:rsidRPr="00532C5D">
          <w:rPr>
            <w:noProof/>
            <w:webHidden/>
          </w:rPr>
          <w:fldChar w:fldCharType="separate"/>
        </w:r>
        <w:r>
          <w:rPr>
            <w:noProof/>
            <w:webHidden/>
          </w:rPr>
          <w:t>9</w:t>
        </w:r>
        <w:r w:rsidR="002C6323" w:rsidRPr="00532C5D">
          <w:rPr>
            <w:noProof/>
            <w:webHidden/>
          </w:rPr>
          <w:fldChar w:fldCharType="end"/>
        </w:r>
      </w:hyperlink>
    </w:p>
    <w:p w14:paraId="1A68FEB7" w14:textId="77777777" w:rsidR="002C6323" w:rsidRPr="00532C5D" w:rsidRDefault="002C6323">
      <w:pPr>
        <w:pStyle w:val="TM3"/>
        <w:tabs>
          <w:tab w:val="left" w:pos="1417"/>
          <w:tab w:val="right" w:leader="dot" w:pos="9062"/>
        </w:tabs>
        <w:rPr>
          <w:rStyle w:val="Lienhypertexte"/>
          <w:noProof/>
        </w:rPr>
      </w:pPr>
    </w:p>
    <w:p w14:paraId="0437C986" w14:textId="5ECAD8BF"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387" w:history="1">
        <w:r w:rsidR="002C6323" w:rsidRPr="00532C5D">
          <w:rPr>
            <w:rStyle w:val="Lienhypertexte"/>
            <w:noProof/>
          </w:rPr>
          <w:t>4.1.</w:t>
        </w:r>
        <w:r w:rsidR="002C6323" w:rsidRPr="00532C5D">
          <w:rPr>
            <w:rFonts w:asciiTheme="minorHAnsi" w:eastAsiaTheme="minorEastAsia" w:hAnsiTheme="minorHAnsi"/>
            <w:noProof/>
            <w:lang w:eastAsia="fr-FR"/>
          </w:rPr>
          <w:tab/>
        </w:r>
        <w:r w:rsidR="002C6323" w:rsidRPr="00532C5D">
          <w:rPr>
            <w:rStyle w:val="Lienhypertexte"/>
            <w:noProof/>
          </w:rPr>
          <w:t>Quels sont les principaux dispositifs d’exonérations fiscales proposés dans une commune classée ou bénéficiaire FRR ?</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_Toc192849387 \h </w:instrText>
        </w:r>
        <w:r w:rsidR="002C6323" w:rsidRPr="00532C5D">
          <w:rPr>
            <w:noProof/>
            <w:webHidden/>
          </w:rPr>
        </w:r>
        <w:r w:rsidR="002C6323" w:rsidRPr="00532C5D">
          <w:rPr>
            <w:noProof/>
            <w:webHidden/>
          </w:rPr>
          <w:fldChar w:fldCharType="separate"/>
        </w:r>
        <w:r>
          <w:rPr>
            <w:noProof/>
            <w:webHidden/>
          </w:rPr>
          <w:t>9</w:t>
        </w:r>
        <w:r w:rsidR="002C6323" w:rsidRPr="00532C5D">
          <w:rPr>
            <w:noProof/>
            <w:webHidden/>
          </w:rPr>
          <w:fldChar w:fldCharType="end"/>
        </w:r>
      </w:hyperlink>
    </w:p>
    <w:p w14:paraId="6B3ACA61" w14:textId="7CF9B4A3" w:rsidR="002C6323" w:rsidRPr="00532C5D" w:rsidRDefault="00AE1A41">
      <w:pPr>
        <w:pStyle w:val="TM4"/>
        <w:tabs>
          <w:tab w:val="left" w:pos="1701"/>
          <w:tab w:val="right" w:leader="dot" w:pos="9062"/>
        </w:tabs>
        <w:rPr>
          <w:rFonts w:asciiTheme="minorHAnsi" w:eastAsiaTheme="minorEastAsia" w:hAnsiTheme="minorHAnsi"/>
          <w:noProof/>
          <w:lang w:eastAsia="fr-FR"/>
        </w:rPr>
      </w:pPr>
      <w:hyperlink w:anchor="_Toc192849388" w:history="1">
        <w:r w:rsidR="002C6323" w:rsidRPr="00532C5D">
          <w:rPr>
            <w:rStyle w:val="Lienhypertexte"/>
            <w:noProof/>
          </w:rPr>
          <w:t>4.1.1.</w:t>
        </w:r>
        <w:r w:rsidR="002C6323" w:rsidRPr="00532C5D">
          <w:rPr>
            <w:rFonts w:asciiTheme="minorHAnsi" w:eastAsiaTheme="minorEastAsia" w:hAnsiTheme="minorHAnsi"/>
            <w:noProof/>
            <w:lang w:eastAsia="fr-FR"/>
          </w:rPr>
          <w:tab/>
        </w:r>
        <w:r w:rsidR="002C6323" w:rsidRPr="00532C5D">
          <w:rPr>
            <w:rStyle w:val="Lienhypertexte"/>
            <w:noProof/>
          </w:rPr>
          <w:t>Principes généraux</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_Toc192849388 \h </w:instrText>
        </w:r>
        <w:r w:rsidR="002C6323" w:rsidRPr="00532C5D">
          <w:rPr>
            <w:noProof/>
            <w:webHidden/>
          </w:rPr>
        </w:r>
        <w:r w:rsidR="002C6323" w:rsidRPr="00532C5D">
          <w:rPr>
            <w:noProof/>
            <w:webHidden/>
          </w:rPr>
          <w:fldChar w:fldCharType="separate"/>
        </w:r>
        <w:r>
          <w:rPr>
            <w:noProof/>
            <w:webHidden/>
          </w:rPr>
          <w:t>9</w:t>
        </w:r>
        <w:r w:rsidR="002C6323" w:rsidRPr="00532C5D">
          <w:rPr>
            <w:noProof/>
            <w:webHidden/>
          </w:rPr>
          <w:fldChar w:fldCharType="end"/>
        </w:r>
      </w:hyperlink>
    </w:p>
    <w:p w14:paraId="4972EDFD" w14:textId="6866D844" w:rsidR="002C6323" w:rsidRPr="00532C5D" w:rsidRDefault="00AE1A41">
      <w:pPr>
        <w:pStyle w:val="TM4"/>
        <w:tabs>
          <w:tab w:val="left" w:pos="1701"/>
          <w:tab w:val="right" w:leader="dot" w:pos="9062"/>
        </w:tabs>
        <w:rPr>
          <w:rFonts w:asciiTheme="minorHAnsi" w:eastAsiaTheme="minorEastAsia" w:hAnsiTheme="minorHAnsi"/>
          <w:noProof/>
          <w:lang w:eastAsia="fr-FR"/>
        </w:rPr>
      </w:pPr>
      <w:hyperlink w:anchor="_Toc192849389" w:history="1">
        <w:r w:rsidR="002C6323" w:rsidRPr="00532C5D">
          <w:rPr>
            <w:rStyle w:val="Lienhypertexte"/>
            <w:noProof/>
          </w:rPr>
          <w:t>4.1.2.</w:t>
        </w:r>
        <w:r w:rsidR="002C6323" w:rsidRPr="00532C5D">
          <w:rPr>
            <w:rFonts w:asciiTheme="minorHAnsi" w:eastAsiaTheme="minorEastAsia" w:hAnsiTheme="minorHAnsi"/>
            <w:noProof/>
            <w:lang w:eastAsia="fr-FR"/>
          </w:rPr>
          <w:tab/>
        </w:r>
        <w:r w:rsidR="002C6323" w:rsidRPr="00532C5D">
          <w:rPr>
            <w:rStyle w:val="Lienhypertexte"/>
            <w:noProof/>
          </w:rPr>
          <w:t>Quelles sont les différentes exonérations fiscales applicables en FRR</w:t>
        </w:r>
        <w:r w:rsidR="002C6323" w:rsidRPr="00532C5D">
          <w:rPr>
            <w:rStyle w:val="Lienhypertexte"/>
            <w:rFonts w:ascii="Calibri" w:hAnsi="Calibri" w:cs="Calibri"/>
            <w:noProof/>
          </w:rPr>
          <w:t> </w:t>
        </w:r>
        <w:r w:rsidR="002C6323" w:rsidRPr="00532C5D">
          <w:rPr>
            <w:rStyle w:val="Lienhypertexte"/>
            <w:noProof/>
          </w:rPr>
          <w:t>?</w:t>
        </w:r>
        <w:r w:rsidR="00D979A4">
          <w:rPr>
            <w:rStyle w:val="Lienhypertexte"/>
            <w:noProof/>
          </w:rPr>
          <w:t>........</w:t>
        </w:r>
        <w:bookmarkStart w:id="20" w:name="_GoBack"/>
        <w:bookmarkEnd w:id="20"/>
        <w:r w:rsidR="00D979A4">
          <w:rPr>
            <w:rStyle w:val="Lienhypertexte"/>
            <w:noProof/>
          </w:rPr>
          <w:tab/>
        </w:r>
        <w:r w:rsidR="00924546" w:rsidRPr="00532C5D">
          <w:rPr>
            <w:rStyle w:val="Lienhypertexte"/>
            <w:noProof/>
          </w:rPr>
          <w:t xml:space="preserve"> </w:t>
        </w:r>
      </w:hyperlink>
      <w:r w:rsidR="00924546" w:rsidRPr="00532C5D">
        <w:rPr>
          <w:noProof/>
        </w:rPr>
        <w:t>10</w:t>
      </w:r>
    </w:p>
    <w:p w14:paraId="5920DB66" w14:textId="4B3D6E8C" w:rsidR="002C6323" w:rsidRPr="00532C5D" w:rsidRDefault="00AE1A41">
      <w:pPr>
        <w:pStyle w:val="TM4"/>
        <w:tabs>
          <w:tab w:val="left" w:pos="1417"/>
          <w:tab w:val="right" w:leader="dot" w:pos="9062"/>
        </w:tabs>
        <w:rPr>
          <w:rFonts w:asciiTheme="minorHAnsi" w:eastAsiaTheme="minorEastAsia" w:hAnsiTheme="minorHAnsi"/>
          <w:noProof/>
          <w:lang w:eastAsia="fr-FR"/>
        </w:rPr>
      </w:pPr>
      <w:hyperlink w:anchor="_Toc192849396" w:history="1">
        <w:r w:rsidR="002C6323" w:rsidRPr="00532C5D">
          <w:rPr>
            <w:rStyle w:val="Lienhypertexte"/>
            <w:noProof/>
          </w:rPr>
          <w:t>a)</w:t>
        </w:r>
        <w:r w:rsidR="002C6323" w:rsidRPr="00532C5D">
          <w:rPr>
            <w:rFonts w:asciiTheme="minorHAnsi" w:eastAsiaTheme="minorEastAsia" w:hAnsiTheme="minorHAnsi"/>
            <w:noProof/>
            <w:lang w:eastAsia="fr-FR"/>
          </w:rPr>
          <w:tab/>
        </w:r>
        <w:r w:rsidR="002C6323" w:rsidRPr="00532C5D">
          <w:rPr>
            <w:rStyle w:val="Lienhypertexte"/>
            <w:noProof/>
          </w:rPr>
          <w:t>Les exonérations fiscales en faveur des entreprises</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_Toc192849396 \h </w:instrText>
        </w:r>
        <w:r w:rsidR="002C6323" w:rsidRPr="00532C5D">
          <w:rPr>
            <w:noProof/>
            <w:webHidden/>
          </w:rPr>
        </w:r>
        <w:r w:rsidR="002C6323" w:rsidRPr="00532C5D">
          <w:rPr>
            <w:noProof/>
            <w:webHidden/>
          </w:rPr>
          <w:fldChar w:fldCharType="separate"/>
        </w:r>
        <w:r>
          <w:rPr>
            <w:noProof/>
            <w:webHidden/>
          </w:rPr>
          <w:t>10</w:t>
        </w:r>
        <w:r w:rsidR="002C6323" w:rsidRPr="00532C5D">
          <w:rPr>
            <w:noProof/>
            <w:webHidden/>
          </w:rPr>
          <w:fldChar w:fldCharType="end"/>
        </w:r>
      </w:hyperlink>
    </w:p>
    <w:p w14:paraId="5C8DC5C0" w14:textId="7B9D23B9" w:rsidR="002C6323" w:rsidRPr="00532C5D" w:rsidRDefault="00AE1A41">
      <w:pPr>
        <w:pStyle w:val="TM4"/>
        <w:tabs>
          <w:tab w:val="left" w:pos="1417"/>
          <w:tab w:val="right" w:leader="dot" w:pos="9062"/>
        </w:tabs>
        <w:rPr>
          <w:rFonts w:asciiTheme="minorHAnsi" w:eastAsiaTheme="minorEastAsia" w:hAnsiTheme="minorHAnsi"/>
          <w:noProof/>
          <w:lang w:eastAsia="fr-FR"/>
        </w:rPr>
      </w:pPr>
      <w:hyperlink w:anchor="_Toc192849397" w:history="1">
        <w:r w:rsidR="002C6323" w:rsidRPr="00532C5D">
          <w:rPr>
            <w:rStyle w:val="Lienhypertexte"/>
            <w:noProof/>
          </w:rPr>
          <w:t>b)</w:t>
        </w:r>
        <w:r w:rsidR="002C6323" w:rsidRPr="00532C5D">
          <w:rPr>
            <w:rFonts w:asciiTheme="minorHAnsi" w:eastAsiaTheme="minorEastAsia" w:hAnsiTheme="minorHAnsi"/>
            <w:noProof/>
            <w:lang w:eastAsia="fr-FR"/>
          </w:rPr>
          <w:tab/>
        </w:r>
        <w:r w:rsidR="002C6323" w:rsidRPr="00532C5D">
          <w:rPr>
            <w:rStyle w:val="Lienhypertexte"/>
            <w:noProof/>
          </w:rPr>
          <w:t>Qu’en est-il des dispositifs d’exonérations fiscales complémentaires en faveur des autres contribuables</w:t>
        </w:r>
        <w:r w:rsidR="002C6323" w:rsidRPr="00532C5D">
          <w:rPr>
            <w:rStyle w:val="Lienhypertexte"/>
            <w:rFonts w:ascii="Calibri" w:hAnsi="Calibri" w:cs="Calibri"/>
            <w:noProof/>
          </w:rPr>
          <w:t> </w:t>
        </w:r>
        <w:r w:rsidR="002C6323" w:rsidRPr="00532C5D">
          <w:rPr>
            <w:rStyle w:val="Lienhypertexte"/>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_Toc192849397 \h </w:instrText>
        </w:r>
        <w:r w:rsidR="002C6323" w:rsidRPr="00532C5D">
          <w:rPr>
            <w:noProof/>
            <w:webHidden/>
          </w:rPr>
        </w:r>
        <w:r w:rsidR="002C6323" w:rsidRPr="00532C5D">
          <w:rPr>
            <w:noProof/>
            <w:webHidden/>
          </w:rPr>
          <w:fldChar w:fldCharType="separate"/>
        </w:r>
        <w:r>
          <w:rPr>
            <w:noProof/>
            <w:webHidden/>
          </w:rPr>
          <w:t>12</w:t>
        </w:r>
        <w:r w:rsidR="002C6323" w:rsidRPr="00532C5D">
          <w:rPr>
            <w:noProof/>
            <w:webHidden/>
          </w:rPr>
          <w:fldChar w:fldCharType="end"/>
        </w:r>
      </w:hyperlink>
    </w:p>
    <w:p w14:paraId="45E82D98" w14:textId="2FCF3DC3" w:rsidR="002C6323" w:rsidRPr="00532C5D" w:rsidRDefault="00AE1A41">
      <w:pPr>
        <w:pStyle w:val="TM4"/>
        <w:tabs>
          <w:tab w:val="left" w:pos="1701"/>
          <w:tab w:val="right" w:leader="dot" w:pos="9062"/>
        </w:tabs>
        <w:rPr>
          <w:rFonts w:asciiTheme="minorHAnsi" w:eastAsiaTheme="minorEastAsia" w:hAnsiTheme="minorHAnsi"/>
          <w:noProof/>
          <w:lang w:eastAsia="fr-FR"/>
        </w:rPr>
      </w:pPr>
      <w:hyperlink w:anchor="_Toc192849402" w:history="1">
        <w:r w:rsidR="002C6323" w:rsidRPr="00532C5D">
          <w:rPr>
            <w:rStyle w:val="Lienhypertexte"/>
            <w:noProof/>
          </w:rPr>
          <w:t>4.1.3.</w:t>
        </w:r>
        <w:r w:rsidR="002C6323" w:rsidRPr="00532C5D">
          <w:rPr>
            <w:rFonts w:asciiTheme="minorHAnsi" w:eastAsiaTheme="minorEastAsia" w:hAnsiTheme="minorHAnsi"/>
            <w:noProof/>
            <w:lang w:eastAsia="fr-FR"/>
          </w:rPr>
          <w:tab/>
        </w:r>
        <w:r w:rsidR="002C6323" w:rsidRPr="00532C5D">
          <w:rPr>
            <w:rStyle w:val="Lienhypertexte"/>
            <w:noProof/>
          </w:rPr>
          <w:t xml:space="preserve">Quel est le délai dans lequel les collectivités </w:t>
        </w:r>
        <w:r w:rsidR="0054243A" w:rsidRPr="00532C5D">
          <w:rPr>
            <w:rStyle w:val="Lienhypertexte"/>
            <w:noProof/>
          </w:rPr>
          <w:t xml:space="preserve">zonées </w:t>
        </w:r>
        <w:r w:rsidR="002C6323" w:rsidRPr="00532C5D">
          <w:rPr>
            <w:rStyle w:val="Lienhypertexte"/>
            <w:noProof/>
          </w:rPr>
          <w:t>peuvent délibérer pour ouvrir droit aux exonérations d’impôts locaux</w:t>
        </w:r>
        <w:r w:rsidR="002C6323" w:rsidRPr="00532C5D">
          <w:rPr>
            <w:rStyle w:val="Lienhypertexte"/>
            <w:rFonts w:ascii="Calibri" w:hAnsi="Calibri" w:cs="Calibri"/>
            <w:noProof/>
          </w:rPr>
          <w:t> </w:t>
        </w:r>
        <w:r w:rsidR="002C6323" w:rsidRPr="00532C5D">
          <w:rPr>
            <w:rStyle w:val="Lienhypertexte"/>
            <w:rFonts w:cs="Calibri"/>
            <w:noProof/>
          </w:rPr>
          <w:t xml:space="preserve">en FRR </w:t>
        </w:r>
        <w:r w:rsidR="002C6323" w:rsidRPr="00532C5D">
          <w:rPr>
            <w:rStyle w:val="Lienhypertexte"/>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_Toc192849402 \h </w:instrText>
        </w:r>
        <w:r w:rsidR="002C6323" w:rsidRPr="00532C5D">
          <w:rPr>
            <w:noProof/>
            <w:webHidden/>
          </w:rPr>
        </w:r>
        <w:r w:rsidR="002C6323" w:rsidRPr="00532C5D">
          <w:rPr>
            <w:noProof/>
            <w:webHidden/>
          </w:rPr>
          <w:fldChar w:fldCharType="separate"/>
        </w:r>
        <w:r>
          <w:rPr>
            <w:noProof/>
            <w:webHidden/>
          </w:rPr>
          <w:t>14</w:t>
        </w:r>
        <w:r w:rsidR="002C6323" w:rsidRPr="00532C5D">
          <w:rPr>
            <w:noProof/>
            <w:webHidden/>
          </w:rPr>
          <w:fldChar w:fldCharType="end"/>
        </w:r>
      </w:hyperlink>
    </w:p>
    <w:p w14:paraId="7729E7B3" w14:textId="421B1391" w:rsidR="002C6323" w:rsidRPr="00532C5D" w:rsidRDefault="00AE1A41">
      <w:pPr>
        <w:pStyle w:val="TM4"/>
        <w:tabs>
          <w:tab w:val="left" w:pos="1701"/>
          <w:tab w:val="right" w:leader="dot" w:pos="9062"/>
        </w:tabs>
        <w:rPr>
          <w:rFonts w:asciiTheme="minorHAnsi" w:eastAsiaTheme="minorEastAsia" w:hAnsiTheme="minorHAnsi"/>
          <w:noProof/>
          <w:lang w:eastAsia="fr-FR"/>
        </w:rPr>
      </w:pPr>
      <w:hyperlink w:anchor="_Toc192849403" w:history="1">
        <w:r w:rsidR="002C6323" w:rsidRPr="00532C5D">
          <w:rPr>
            <w:rStyle w:val="Lienhypertexte"/>
            <w:noProof/>
          </w:rPr>
          <w:t>4.1.4.</w:t>
        </w:r>
        <w:r w:rsidR="002C6323" w:rsidRPr="00532C5D">
          <w:rPr>
            <w:rFonts w:asciiTheme="minorHAnsi" w:eastAsiaTheme="minorEastAsia" w:hAnsiTheme="minorHAnsi"/>
            <w:noProof/>
            <w:lang w:eastAsia="fr-FR"/>
          </w:rPr>
          <w:tab/>
        </w:r>
        <w:r w:rsidR="002C6323" w:rsidRPr="00532C5D">
          <w:rPr>
            <w:rStyle w:val="Lienhypertexte"/>
            <w:noProof/>
          </w:rPr>
          <w:t>Quelles sont les entreprises, les activités et les opérations éligibles aux dispositifs d’exonérations fiscales ?</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_Toc192849403 \h </w:instrText>
        </w:r>
        <w:r w:rsidR="002C6323" w:rsidRPr="00532C5D">
          <w:rPr>
            <w:noProof/>
            <w:webHidden/>
          </w:rPr>
        </w:r>
        <w:r w:rsidR="002C6323" w:rsidRPr="00532C5D">
          <w:rPr>
            <w:noProof/>
            <w:webHidden/>
          </w:rPr>
          <w:fldChar w:fldCharType="separate"/>
        </w:r>
        <w:r>
          <w:rPr>
            <w:noProof/>
            <w:webHidden/>
          </w:rPr>
          <w:t>19</w:t>
        </w:r>
        <w:r w:rsidR="002C6323" w:rsidRPr="00532C5D">
          <w:rPr>
            <w:noProof/>
            <w:webHidden/>
          </w:rPr>
          <w:fldChar w:fldCharType="end"/>
        </w:r>
      </w:hyperlink>
    </w:p>
    <w:p w14:paraId="1439348E" w14:textId="77777777" w:rsidR="002C6323" w:rsidRPr="00532C5D" w:rsidRDefault="002C6323">
      <w:pPr>
        <w:pStyle w:val="TM3"/>
        <w:tabs>
          <w:tab w:val="left" w:pos="1417"/>
          <w:tab w:val="right" w:leader="dot" w:pos="9062"/>
        </w:tabs>
        <w:rPr>
          <w:rStyle w:val="Lienhypertexte"/>
          <w:noProof/>
        </w:rPr>
      </w:pPr>
    </w:p>
    <w:p w14:paraId="1DAAA2CF" w14:textId="2BB49453"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404" w:history="1">
        <w:r w:rsidR="002C6323" w:rsidRPr="00532C5D">
          <w:rPr>
            <w:rStyle w:val="Lienhypertexte"/>
            <w:noProof/>
          </w:rPr>
          <w:t>4.2.</w:t>
        </w:r>
        <w:r w:rsidR="002C6323" w:rsidRPr="00532C5D">
          <w:rPr>
            <w:rFonts w:asciiTheme="minorHAnsi" w:eastAsiaTheme="minorEastAsia" w:hAnsiTheme="minorHAnsi"/>
            <w:noProof/>
            <w:lang w:eastAsia="fr-FR"/>
          </w:rPr>
          <w:tab/>
        </w:r>
        <w:r w:rsidR="002C6323" w:rsidRPr="00532C5D">
          <w:rPr>
            <w:rStyle w:val="Lienhypertexte"/>
            <w:noProof/>
          </w:rPr>
          <w:t>Qu’en est-il des dispositifs d’exonérations sociales ?</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_Toc192849404 \h </w:instrText>
        </w:r>
        <w:r w:rsidR="002C6323" w:rsidRPr="00532C5D">
          <w:rPr>
            <w:noProof/>
            <w:webHidden/>
          </w:rPr>
        </w:r>
        <w:r w:rsidR="002C6323" w:rsidRPr="00532C5D">
          <w:rPr>
            <w:noProof/>
            <w:webHidden/>
          </w:rPr>
          <w:fldChar w:fldCharType="separate"/>
        </w:r>
        <w:r>
          <w:rPr>
            <w:noProof/>
            <w:webHidden/>
          </w:rPr>
          <w:t>23</w:t>
        </w:r>
        <w:r w:rsidR="002C6323" w:rsidRPr="00532C5D">
          <w:rPr>
            <w:noProof/>
            <w:webHidden/>
          </w:rPr>
          <w:fldChar w:fldCharType="end"/>
        </w:r>
      </w:hyperlink>
    </w:p>
    <w:p w14:paraId="09A0C269" w14:textId="77777777" w:rsidR="002C6323" w:rsidRPr="00532C5D" w:rsidRDefault="002C6323">
      <w:pPr>
        <w:pStyle w:val="TM2"/>
        <w:tabs>
          <w:tab w:val="left" w:pos="850"/>
          <w:tab w:val="right" w:leader="dot" w:pos="9062"/>
        </w:tabs>
        <w:rPr>
          <w:rStyle w:val="Lienhypertexte"/>
          <w:noProof/>
        </w:rPr>
      </w:pPr>
    </w:p>
    <w:p w14:paraId="36349E84" w14:textId="3D39F503" w:rsidR="002C6323" w:rsidRPr="00532C5D" w:rsidRDefault="00AE1A41">
      <w:pPr>
        <w:pStyle w:val="TM2"/>
        <w:tabs>
          <w:tab w:val="left" w:pos="850"/>
          <w:tab w:val="right" w:leader="dot" w:pos="9062"/>
        </w:tabs>
        <w:rPr>
          <w:rFonts w:asciiTheme="minorHAnsi" w:eastAsiaTheme="minorEastAsia" w:hAnsiTheme="minorHAnsi"/>
          <w:noProof/>
          <w:lang w:eastAsia="fr-FR"/>
        </w:rPr>
      </w:pPr>
      <w:hyperlink w:anchor="_Toc192849405" w:history="1">
        <w:r w:rsidR="002C6323" w:rsidRPr="00532C5D">
          <w:rPr>
            <w:rStyle w:val="Lienhypertexte"/>
            <w:b/>
            <w:noProof/>
          </w:rPr>
          <w:t>5.</w:t>
        </w:r>
        <w:r w:rsidR="002C6323" w:rsidRPr="00532C5D">
          <w:rPr>
            <w:rFonts w:asciiTheme="minorHAnsi" w:eastAsiaTheme="minorEastAsia" w:hAnsiTheme="minorHAnsi"/>
            <w:b/>
            <w:noProof/>
            <w:lang w:eastAsia="fr-FR"/>
          </w:rPr>
          <w:tab/>
        </w:r>
        <w:r w:rsidR="002C6323" w:rsidRPr="00532C5D">
          <w:rPr>
            <w:rStyle w:val="Lienhypertexte"/>
            <w:b/>
            <w:noProof/>
          </w:rPr>
          <w:t>Quels sont les autres avantages adossés au classement FRR</w:t>
        </w:r>
        <w:r w:rsidR="002C6323" w:rsidRPr="00532C5D">
          <w:rPr>
            <w:rStyle w:val="Lienhypertexte"/>
            <w:rFonts w:ascii="Calibri" w:hAnsi="Calibri" w:cs="Calibri"/>
            <w:b/>
            <w:noProof/>
          </w:rPr>
          <w:t> </w:t>
        </w:r>
        <w:r w:rsidR="002C6323" w:rsidRPr="00532C5D">
          <w:rPr>
            <w:rStyle w:val="Lienhypertexte"/>
            <w:rFonts w:cs="Calibri"/>
            <w:b/>
            <w:noProof/>
          </w:rPr>
          <w: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_Toc192849405 \h </w:instrText>
        </w:r>
        <w:r w:rsidR="002C6323" w:rsidRPr="00532C5D">
          <w:rPr>
            <w:noProof/>
            <w:webHidden/>
          </w:rPr>
        </w:r>
        <w:r w:rsidR="002C6323" w:rsidRPr="00532C5D">
          <w:rPr>
            <w:noProof/>
            <w:webHidden/>
          </w:rPr>
          <w:fldChar w:fldCharType="separate"/>
        </w:r>
        <w:r>
          <w:rPr>
            <w:noProof/>
            <w:webHidden/>
          </w:rPr>
          <w:t>24</w:t>
        </w:r>
        <w:r w:rsidR="002C6323" w:rsidRPr="00532C5D">
          <w:rPr>
            <w:noProof/>
            <w:webHidden/>
          </w:rPr>
          <w:fldChar w:fldCharType="end"/>
        </w:r>
      </w:hyperlink>
    </w:p>
    <w:p w14:paraId="3E78F20F" w14:textId="77777777" w:rsidR="002C6323" w:rsidRPr="00532C5D" w:rsidRDefault="002C6323">
      <w:pPr>
        <w:pStyle w:val="TM3"/>
        <w:tabs>
          <w:tab w:val="left" w:pos="1417"/>
          <w:tab w:val="right" w:leader="dot" w:pos="9062"/>
        </w:tabs>
        <w:rPr>
          <w:rStyle w:val="Lienhypertexte"/>
          <w:noProof/>
        </w:rPr>
      </w:pPr>
    </w:p>
    <w:p w14:paraId="1BB1F417" w14:textId="10F44686"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406" w:history="1">
        <w:r w:rsidR="002C6323" w:rsidRPr="00532C5D">
          <w:rPr>
            <w:rStyle w:val="Lienhypertexte"/>
            <w:noProof/>
          </w:rPr>
          <w:t>5.1.</w:t>
        </w:r>
        <w:r w:rsidR="002C6323" w:rsidRPr="00532C5D">
          <w:rPr>
            <w:rFonts w:asciiTheme="minorHAnsi" w:eastAsiaTheme="minorEastAsia" w:hAnsiTheme="minorHAnsi"/>
            <w:noProof/>
            <w:lang w:eastAsia="fr-FR"/>
          </w:rPr>
          <w:tab/>
        </w:r>
        <w:r w:rsidR="002C6323" w:rsidRPr="00532C5D">
          <w:rPr>
            <w:rStyle w:val="Lienhypertexte"/>
            <w:noProof/>
          </w:rPr>
          <w:t>L’inclusion dans le zonage FRR permet à une commune de bénéficier d’un soutien financier renforcé de l’Etat</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_Toc192849406 \h </w:instrText>
        </w:r>
        <w:r w:rsidR="002C6323" w:rsidRPr="00532C5D">
          <w:rPr>
            <w:noProof/>
            <w:webHidden/>
          </w:rPr>
        </w:r>
        <w:r w:rsidR="002C6323" w:rsidRPr="00532C5D">
          <w:rPr>
            <w:noProof/>
            <w:webHidden/>
          </w:rPr>
          <w:fldChar w:fldCharType="separate"/>
        </w:r>
        <w:r>
          <w:rPr>
            <w:noProof/>
            <w:webHidden/>
          </w:rPr>
          <w:t>24</w:t>
        </w:r>
        <w:r w:rsidR="002C6323" w:rsidRPr="00532C5D">
          <w:rPr>
            <w:noProof/>
            <w:webHidden/>
          </w:rPr>
          <w:fldChar w:fldCharType="end"/>
        </w:r>
      </w:hyperlink>
    </w:p>
    <w:p w14:paraId="14EDCA6F" w14:textId="3449F808"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407" w:history="1">
        <w:r w:rsidR="002C6323" w:rsidRPr="00532C5D">
          <w:rPr>
            <w:rStyle w:val="Lienhypertexte"/>
            <w:noProof/>
          </w:rPr>
          <w:t>5.2.</w:t>
        </w:r>
        <w:r w:rsidR="002C6323" w:rsidRPr="00532C5D">
          <w:rPr>
            <w:rFonts w:asciiTheme="minorHAnsi" w:eastAsiaTheme="minorEastAsia" w:hAnsiTheme="minorHAnsi"/>
            <w:noProof/>
            <w:lang w:eastAsia="fr-FR"/>
          </w:rPr>
          <w:tab/>
        </w:r>
        <w:r w:rsidR="002C6323" w:rsidRPr="00532C5D">
          <w:rPr>
            <w:rStyle w:val="Lienhypertexte"/>
            <w:noProof/>
          </w:rPr>
          <w:t>L’inclusion dans le zonage FRR permet de renforcer l’accès aux soins pour les habitants</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_Toc192849407 \h </w:instrText>
        </w:r>
        <w:r w:rsidR="002C6323" w:rsidRPr="00532C5D">
          <w:rPr>
            <w:noProof/>
            <w:webHidden/>
          </w:rPr>
        </w:r>
        <w:r w:rsidR="002C6323" w:rsidRPr="00532C5D">
          <w:rPr>
            <w:noProof/>
            <w:webHidden/>
          </w:rPr>
          <w:fldChar w:fldCharType="separate"/>
        </w:r>
        <w:r>
          <w:rPr>
            <w:noProof/>
            <w:webHidden/>
          </w:rPr>
          <w:t>25</w:t>
        </w:r>
        <w:r w:rsidR="002C6323" w:rsidRPr="00532C5D">
          <w:rPr>
            <w:noProof/>
            <w:webHidden/>
          </w:rPr>
          <w:fldChar w:fldCharType="end"/>
        </w:r>
      </w:hyperlink>
    </w:p>
    <w:p w14:paraId="017BC105" w14:textId="3817BAF9" w:rsidR="002C6323" w:rsidRPr="00532C5D" w:rsidRDefault="00AE1A41">
      <w:pPr>
        <w:pStyle w:val="TM3"/>
        <w:tabs>
          <w:tab w:val="left" w:pos="1417"/>
          <w:tab w:val="right" w:leader="dot" w:pos="9062"/>
        </w:tabs>
        <w:rPr>
          <w:rFonts w:asciiTheme="minorHAnsi" w:eastAsiaTheme="minorEastAsia" w:hAnsiTheme="minorHAnsi"/>
          <w:noProof/>
          <w:lang w:eastAsia="fr-FR"/>
        </w:rPr>
      </w:pPr>
      <w:hyperlink w:anchor="_Toc192849408" w:history="1">
        <w:r w:rsidR="002C6323" w:rsidRPr="00532C5D">
          <w:rPr>
            <w:rStyle w:val="Lienhypertexte"/>
            <w:noProof/>
          </w:rPr>
          <w:t>5.3.</w:t>
        </w:r>
        <w:r w:rsidR="002C6323" w:rsidRPr="00532C5D">
          <w:rPr>
            <w:rFonts w:asciiTheme="minorHAnsi" w:eastAsiaTheme="minorEastAsia" w:hAnsiTheme="minorHAnsi"/>
            <w:noProof/>
            <w:lang w:eastAsia="fr-FR"/>
          </w:rPr>
          <w:tab/>
        </w:r>
        <w:r w:rsidR="002C6323" w:rsidRPr="00532C5D">
          <w:rPr>
            <w:rStyle w:val="Lienhypertexte"/>
            <w:noProof/>
          </w:rPr>
          <w:t>L’inclusion dans le zonage FRR améliore l’accès aux services publics et favorise le développement territorial</w:t>
        </w:r>
        <w:r w:rsidR="002C6323" w:rsidRPr="00532C5D">
          <w:rPr>
            <w:noProof/>
            <w:webHidden/>
          </w:rPr>
          <w:tab/>
        </w:r>
        <w:r w:rsidR="002C6323" w:rsidRPr="00532C5D">
          <w:rPr>
            <w:noProof/>
            <w:webHidden/>
          </w:rPr>
          <w:fldChar w:fldCharType="begin"/>
        </w:r>
        <w:r w:rsidR="002C6323" w:rsidRPr="00532C5D">
          <w:rPr>
            <w:noProof/>
            <w:webHidden/>
          </w:rPr>
          <w:instrText xml:space="preserve"> PAGEREF _Toc192849408 \h </w:instrText>
        </w:r>
        <w:r w:rsidR="002C6323" w:rsidRPr="00532C5D">
          <w:rPr>
            <w:noProof/>
            <w:webHidden/>
          </w:rPr>
        </w:r>
        <w:r w:rsidR="002C6323" w:rsidRPr="00532C5D">
          <w:rPr>
            <w:noProof/>
            <w:webHidden/>
          </w:rPr>
          <w:fldChar w:fldCharType="separate"/>
        </w:r>
        <w:r>
          <w:rPr>
            <w:noProof/>
            <w:webHidden/>
          </w:rPr>
          <w:t>25</w:t>
        </w:r>
        <w:r w:rsidR="002C6323" w:rsidRPr="00532C5D">
          <w:rPr>
            <w:noProof/>
            <w:webHidden/>
          </w:rPr>
          <w:fldChar w:fldCharType="end"/>
        </w:r>
      </w:hyperlink>
    </w:p>
    <w:p w14:paraId="03A8953E" w14:textId="41419B26" w:rsidR="002C6323" w:rsidRPr="00532C5D" w:rsidRDefault="00AE1A41" w:rsidP="00924546">
      <w:pPr>
        <w:pStyle w:val="TM3"/>
        <w:tabs>
          <w:tab w:val="left" w:pos="1417"/>
          <w:tab w:val="right" w:leader="dot" w:pos="9062"/>
        </w:tabs>
        <w:jc w:val="both"/>
        <w:rPr>
          <w:rFonts w:asciiTheme="minorHAnsi" w:eastAsiaTheme="minorEastAsia" w:hAnsiTheme="minorHAnsi"/>
          <w:noProof/>
          <w:lang w:eastAsia="fr-FR"/>
        </w:rPr>
      </w:pPr>
      <w:hyperlink w:anchor="_Toc192849409" w:history="1">
        <w:r w:rsidR="002C6323" w:rsidRPr="00532C5D">
          <w:rPr>
            <w:rStyle w:val="Lienhypertexte"/>
            <w:noProof/>
          </w:rPr>
          <w:t>5.4.</w:t>
        </w:r>
        <w:r w:rsidR="002C6323" w:rsidRPr="00532C5D">
          <w:rPr>
            <w:rFonts w:asciiTheme="minorHAnsi" w:eastAsiaTheme="minorEastAsia" w:hAnsiTheme="minorHAnsi"/>
            <w:noProof/>
            <w:lang w:eastAsia="fr-FR"/>
          </w:rPr>
          <w:tab/>
        </w:r>
        <w:r w:rsidR="002C6323" w:rsidRPr="00532C5D">
          <w:rPr>
            <w:rStyle w:val="Lienhypertexte"/>
            <w:noProof/>
          </w:rPr>
          <w:t>L’inclusion dans le zonage FRR soutient les actions en faveur du logement</w:t>
        </w:r>
        <w:r w:rsidR="00D979A4">
          <w:rPr>
            <w:rStyle w:val="Lienhypertexte"/>
            <w:noProof/>
          </w:rPr>
          <w:t>.</w:t>
        </w:r>
        <w:r w:rsidR="00D979A4">
          <w:rPr>
            <w:rStyle w:val="Lienhypertexte"/>
            <w:noProof/>
          </w:rPr>
          <w:tab/>
        </w:r>
        <w:r w:rsidR="002C6323" w:rsidRPr="00532C5D">
          <w:rPr>
            <w:noProof/>
            <w:webHidden/>
          </w:rPr>
          <w:fldChar w:fldCharType="begin"/>
        </w:r>
        <w:r w:rsidR="002C6323" w:rsidRPr="00532C5D">
          <w:rPr>
            <w:noProof/>
            <w:webHidden/>
          </w:rPr>
          <w:instrText xml:space="preserve"> PAGEREF _Toc192849409 \h </w:instrText>
        </w:r>
        <w:r w:rsidR="002C6323" w:rsidRPr="00532C5D">
          <w:rPr>
            <w:noProof/>
            <w:webHidden/>
          </w:rPr>
        </w:r>
        <w:r w:rsidR="002C6323" w:rsidRPr="00532C5D">
          <w:rPr>
            <w:noProof/>
            <w:webHidden/>
          </w:rPr>
          <w:fldChar w:fldCharType="separate"/>
        </w:r>
        <w:r>
          <w:rPr>
            <w:noProof/>
            <w:webHidden/>
          </w:rPr>
          <w:t>26</w:t>
        </w:r>
        <w:r w:rsidR="002C6323" w:rsidRPr="00532C5D">
          <w:rPr>
            <w:noProof/>
            <w:webHidden/>
          </w:rPr>
          <w:fldChar w:fldCharType="end"/>
        </w:r>
      </w:hyperlink>
    </w:p>
    <w:p w14:paraId="3D0AF625" w14:textId="61F91C81" w:rsidR="00B01B52" w:rsidRDefault="001D7F77" w:rsidP="009A7D18">
      <w:pPr>
        <w:rPr>
          <w:highlight w:val="yellow"/>
        </w:rPr>
      </w:pPr>
      <w:r>
        <w:rPr>
          <w:highlight w:val="yellow"/>
        </w:rPr>
        <w:fldChar w:fldCharType="end"/>
      </w:r>
    </w:p>
    <w:p w14:paraId="0CEF78C3" w14:textId="74B5A11D" w:rsidR="001E01AF" w:rsidRPr="009915A5" w:rsidRDefault="00AF646F" w:rsidP="009915A5">
      <w:pPr>
        <w:pStyle w:val="Titre2"/>
        <w:rPr>
          <w:i/>
          <w:sz w:val="28"/>
          <w:u w:val="single"/>
        </w:rPr>
      </w:pPr>
      <w:bookmarkStart w:id="21" w:name="_Toc192844104"/>
      <w:bookmarkStart w:id="22" w:name="_Toc192849377"/>
      <w:r w:rsidRPr="009915A5">
        <w:rPr>
          <w:i/>
          <w:sz w:val="28"/>
          <w:u w:val="single"/>
        </w:rPr>
        <w:lastRenderedPageBreak/>
        <w:t>France ruralités revitalisation</w:t>
      </w:r>
      <w:r w:rsidRPr="009915A5">
        <w:rPr>
          <w:rFonts w:ascii="Calibri" w:hAnsi="Calibri" w:cs="Calibri"/>
          <w:i/>
          <w:sz w:val="28"/>
          <w:u w:val="single"/>
        </w:rPr>
        <w:t> </w:t>
      </w:r>
      <w:r w:rsidRPr="009915A5">
        <w:rPr>
          <w:i/>
          <w:sz w:val="28"/>
          <w:u w:val="single"/>
        </w:rPr>
        <w:t>: qu’est-ce que c’est</w:t>
      </w:r>
      <w:r w:rsidRPr="009915A5">
        <w:rPr>
          <w:rFonts w:ascii="Calibri" w:hAnsi="Calibri" w:cs="Calibri"/>
          <w:i/>
          <w:sz w:val="28"/>
          <w:u w:val="single"/>
        </w:rPr>
        <w:t> </w:t>
      </w:r>
      <w:r w:rsidRPr="009915A5">
        <w:rPr>
          <w:i/>
          <w:sz w:val="28"/>
          <w:u w:val="single"/>
        </w:rPr>
        <w:t>?</w:t>
      </w:r>
      <w:bookmarkEnd w:id="21"/>
      <w:bookmarkEnd w:id="22"/>
    </w:p>
    <w:p w14:paraId="59F89386" w14:textId="77777777" w:rsidR="001E01AF" w:rsidRPr="00884C9F" w:rsidRDefault="00AF646F" w:rsidP="00885B95">
      <w:pPr>
        <w:pStyle w:val="Titre3"/>
        <w:rPr>
          <w:i/>
          <w:color w:val="auto"/>
          <w:sz w:val="24"/>
          <w:u w:val="single"/>
        </w:rPr>
      </w:pPr>
      <w:bookmarkStart w:id="23" w:name="_Toc192844105"/>
      <w:bookmarkStart w:id="24" w:name="_Toc192849378"/>
      <w:r w:rsidRPr="00884C9F">
        <w:rPr>
          <w:i/>
          <w:color w:val="auto"/>
          <w:sz w:val="24"/>
          <w:u w:val="single"/>
        </w:rPr>
        <w:t>Pourquoi un nouveau zonage</w:t>
      </w:r>
      <w:r w:rsidRPr="00884C9F">
        <w:rPr>
          <w:rFonts w:ascii="Calibri" w:hAnsi="Calibri" w:cs="Calibri"/>
          <w:i/>
          <w:color w:val="auto"/>
          <w:sz w:val="24"/>
          <w:u w:val="single"/>
        </w:rPr>
        <w:t> </w:t>
      </w:r>
      <w:r w:rsidRPr="00884C9F">
        <w:rPr>
          <w:i/>
          <w:color w:val="auto"/>
          <w:sz w:val="24"/>
          <w:u w:val="single"/>
        </w:rPr>
        <w:t>?</w:t>
      </w:r>
      <w:bookmarkEnd w:id="23"/>
      <w:bookmarkEnd w:id="24"/>
      <w:r w:rsidRPr="00884C9F">
        <w:rPr>
          <w:i/>
          <w:color w:val="auto"/>
          <w:sz w:val="24"/>
          <w:u w:val="single"/>
          <w:lang w:eastAsia="fr-FR"/>
        </w:rPr>
        <w:t xml:space="preserve"> </w:t>
      </w:r>
    </w:p>
    <w:p w14:paraId="252DA7DE" w14:textId="77777777" w:rsidR="00E24FEF" w:rsidRDefault="00E24FEF">
      <w:pPr>
        <w:contextualSpacing/>
        <w:jc w:val="both"/>
        <w:rPr>
          <w:rStyle w:val="markedcontent"/>
          <w:rFonts w:cs="Arial"/>
        </w:rPr>
      </w:pPr>
    </w:p>
    <w:p w14:paraId="30406ED9" w14:textId="257218C9" w:rsidR="001E01AF" w:rsidRDefault="00AF646F">
      <w:pPr>
        <w:contextualSpacing/>
        <w:jc w:val="both"/>
        <w:rPr>
          <w:rStyle w:val="markedcontent"/>
          <w:rFonts w:cs="Arial"/>
        </w:rPr>
      </w:pPr>
      <w:r>
        <w:rPr>
          <w:rStyle w:val="markedcontent"/>
          <w:rFonts w:cs="Arial"/>
        </w:rPr>
        <w:t>La réforme des zones de revitalisation rurale (ZRR) constitue le quatrième axe de France Ruralités, le plan du Gouvernement en faveur des ruralités, annoncé par le Gouvernement en juin 2023. Instituées par la loi n° 95-115 du 4 février 1995 d'orientation pour l'aménagement et le développement du territoire, les ZRR ont pour objectif d’aider le développement des territoires ruraux, principalement par des mesures d’exonérations fiscales et sociales.</w:t>
      </w:r>
    </w:p>
    <w:p w14:paraId="32E93547" w14:textId="77777777" w:rsidR="001E01AF" w:rsidRDefault="001E01AF">
      <w:pPr>
        <w:contextualSpacing/>
        <w:jc w:val="both"/>
        <w:rPr>
          <w:rStyle w:val="markedcontent"/>
          <w:rFonts w:cs="Arial"/>
        </w:rPr>
      </w:pPr>
    </w:p>
    <w:p w14:paraId="37ADB258" w14:textId="77777777" w:rsidR="001E01AF" w:rsidRDefault="00AF646F">
      <w:pPr>
        <w:contextualSpacing/>
        <w:jc w:val="both"/>
        <w:rPr>
          <w:rStyle w:val="markedcontent"/>
          <w:rFonts w:cs="Arial"/>
        </w:rPr>
      </w:pPr>
      <w:r>
        <w:rPr>
          <w:rStyle w:val="markedcontent"/>
          <w:rFonts w:cs="Arial"/>
        </w:rPr>
        <w:t>Les ZRR ont fait l’objet de plusieurs études et rapports parlementaires ces dernières années. Ceux-ci partagent le constat d’un dispositif perçu comme un signal positif de l'État et une reconnaissance de la vulnérabilité des territoires ruraux, tout en relevant son faible taux de recours par les entreprises, notamment en raison de la complexité des règles applicables. Prenant acte de ce constat, le Gouvernement a souhaité pérenniser le zonage tout en le modernisant pour qu’il soit lisible, juste et efficace.</w:t>
      </w:r>
    </w:p>
    <w:p w14:paraId="1D9FB3BC" w14:textId="77777777" w:rsidR="001E01AF" w:rsidRDefault="001E01AF">
      <w:pPr>
        <w:contextualSpacing/>
        <w:jc w:val="both"/>
      </w:pPr>
    </w:p>
    <w:p w14:paraId="4DA822B7" w14:textId="7403A3A1" w:rsidR="002A428B" w:rsidRDefault="00AF646F">
      <w:pPr>
        <w:jc w:val="both"/>
        <w:rPr>
          <w:rStyle w:val="markedcontent"/>
          <w:rFonts w:cs="Calibri"/>
        </w:rPr>
      </w:pPr>
      <w:r>
        <w:rPr>
          <w:rStyle w:val="markedcontent"/>
          <w:rFonts w:cs="Arial"/>
        </w:rPr>
        <w:t>Le nouveau zonage, «</w:t>
      </w:r>
      <w:r>
        <w:rPr>
          <w:rStyle w:val="markedcontent"/>
          <w:rFonts w:ascii="Calibri" w:hAnsi="Calibri" w:cs="Calibri"/>
        </w:rPr>
        <w:t> </w:t>
      </w:r>
      <w:r>
        <w:rPr>
          <w:rStyle w:val="markedcontent"/>
          <w:rFonts w:cs="Arial"/>
        </w:rPr>
        <w:t>France ruralités revitalisation</w:t>
      </w:r>
      <w:r>
        <w:rPr>
          <w:rStyle w:val="markedcontent"/>
          <w:rFonts w:ascii="Calibri" w:hAnsi="Calibri" w:cs="Calibri"/>
        </w:rPr>
        <w:t> </w:t>
      </w:r>
      <w:r>
        <w:rPr>
          <w:rStyle w:val="markedcontent"/>
          <w:rFonts w:cs="Marianne"/>
        </w:rPr>
        <w:t>»</w:t>
      </w:r>
      <w:r>
        <w:rPr>
          <w:rStyle w:val="markedcontent"/>
          <w:rFonts w:cs="Arial"/>
        </w:rPr>
        <w:t xml:space="preserve"> (FRR) permet un soutien plus finement adapté aux réalités locales avec des exonérations fiscales et sociales plus fortes dans les territoires les plus fragiles, afin de développer l’activité économique et l’</w:t>
      </w:r>
      <w:r>
        <w:rPr>
          <w:rStyle w:val="markedcontent"/>
          <w:rFonts w:cs="Calibri"/>
        </w:rPr>
        <w:t>attractivité territoriale mais également d’améliorer leur taux de recours par les entreprises.</w:t>
      </w:r>
    </w:p>
    <w:p w14:paraId="44232383" w14:textId="77777777" w:rsidR="001E01AF" w:rsidRPr="00151BB2" w:rsidRDefault="00AF646F" w:rsidP="00151BB2">
      <w:pPr>
        <w:pStyle w:val="Titre3"/>
        <w:rPr>
          <w:rFonts w:cs="Calibri"/>
          <w:i/>
          <w:color w:val="auto"/>
          <w:u w:val="single"/>
        </w:rPr>
      </w:pPr>
      <w:bookmarkStart w:id="25" w:name="_Toc192844106"/>
      <w:bookmarkStart w:id="26" w:name="_Toc192849379"/>
      <w:r w:rsidRPr="00151BB2">
        <w:rPr>
          <w:i/>
          <w:color w:val="auto"/>
          <w:u w:val="single"/>
        </w:rPr>
        <w:t>Comment le zonage</w:t>
      </w:r>
      <w:r w:rsidRPr="00151BB2">
        <w:rPr>
          <w:rFonts w:ascii="Calibri" w:hAnsi="Calibri" w:cs="Calibri"/>
          <w:i/>
          <w:color w:val="auto"/>
          <w:u w:val="single"/>
        </w:rPr>
        <w:t> </w:t>
      </w:r>
      <w:r w:rsidRPr="00151BB2">
        <w:rPr>
          <w:i/>
          <w:color w:val="auto"/>
          <w:u w:val="single"/>
        </w:rPr>
        <w:t>a-t-il été déterminé ?</w:t>
      </w:r>
      <w:bookmarkEnd w:id="25"/>
      <w:bookmarkEnd w:id="26"/>
    </w:p>
    <w:p w14:paraId="13162672" w14:textId="77777777" w:rsidR="001E01AF" w:rsidRDefault="00AF646F">
      <w:pPr>
        <w:spacing w:beforeAutospacing="1" w:afterAutospacing="1"/>
        <w:jc w:val="both"/>
        <w:rPr>
          <w:rStyle w:val="markedcontent"/>
          <w:rFonts w:cs="Arial"/>
        </w:rPr>
      </w:pPr>
      <w:r>
        <w:rPr>
          <w:rStyle w:val="markedcontent"/>
          <w:rFonts w:cs="Arial"/>
        </w:rPr>
        <w:t xml:space="preserve">Sur la base des études et rapports parlementaires portant sur les ZRR, enrichis des nombreuses concertations menées en 2022-2023 avec l’ensemble des partenaires (parlementaires, associations d’élus, acteurs économiques, etc.), le Gouvernement a proposé les règles de définition de ce nouveau zonage. </w:t>
      </w:r>
    </w:p>
    <w:p w14:paraId="53CD8C53" w14:textId="0B3F3846" w:rsidR="001E01AF" w:rsidRDefault="00AF646F">
      <w:pPr>
        <w:spacing w:beforeAutospacing="1" w:afterAutospacing="1"/>
        <w:jc w:val="both"/>
        <w:rPr>
          <w:rStyle w:val="markedcontent"/>
          <w:rFonts w:cs="Arial"/>
        </w:rPr>
      </w:pPr>
      <w:r>
        <w:rPr>
          <w:rStyle w:val="markedcontent"/>
          <w:rFonts w:cs="Arial"/>
        </w:rPr>
        <w:t xml:space="preserve">Ces propositions ont été soumises au débat et votées par le Parlement dans le cadre de la loi de finances pour 2024 (article 73 créant notamment l’article 44 </w:t>
      </w:r>
      <w:r>
        <w:rPr>
          <w:rStyle w:val="markedcontent"/>
          <w:rFonts w:cs="Arial"/>
          <w:i/>
        </w:rPr>
        <w:t xml:space="preserve">quindecies </w:t>
      </w:r>
      <w:r>
        <w:rPr>
          <w:rStyle w:val="markedcontent"/>
          <w:rFonts w:cs="Arial"/>
        </w:rPr>
        <w:t>A du code général des impôts [CGI]). La réforme a été adoptée à l’unanimité au Sénat.</w:t>
      </w:r>
    </w:p>
    <w:p w14:paraId="0F8D2CBD" w14:textId="135E901A" w:rsidR="001E01AF" w:rsidRDefault="00FA3417" w:rsidP="00774AB8">
      <w:pPr>
        <w:spacing w:beforeAutospacing="1" w:afterAutospacing="1"/>
        <w:jc w:val="both"/>
        <w:rPr>
          <w:rStyle w:val="markedcontent"/>
          <w:rFonts w:cs="Arial"/>
        </w:rPr>
      </w:pPr>
      <w:r>
        <w:rPr>
          <w:rFonts w:cs="Arial"/>
          <w:noProof/>
          <w:lang w:eastAsia="fr-FR"/>
        </w:rPr>
        <mc:AlternateContent>
          <mc:Choice Requires="wps">
            <w:drawing>
              <wp:anchor distT="0" distB="0" distL="114300" distR="114300" simplePos="0" relativeHeight="251659264" behindDoc="0" locked="0" layoutInCell="1" allowOverlap="1" wp14:anchorId="21809D4D" wp14:editId="37F5ACA8">
                <wp:simplePos x="0" y="0"/>
                <wp:positionH relativeFrom="column">
                  <wp:posOffset>-878205</wp:posOffset>
                </wp:positionH>
                <wp:positionV relativeFrom="paragraph">
                  <wp:posOffset>54807</wp:posOffset>
                </wp:positionV>
                <wp:extent cx="809296" cy="294289"/>
                <wp:effectExtent l="0" t="0" r="10160" b="10795"/>
                <wp:wrapNone/>
                <wp:docPr id="5" name="Rectangle à coins arrondis 5"/>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10958" w14:textId="25E7954C" w:rsidR="00D964A6" w:rsidRPr="00774AB8" w:rsidRDefault="00D964A6" w:rsidP="00D964A6">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09D4D" id="Rectangle à coins arrondis 5" o:spid="_x0000_s1026" style="position:absolute;left:0;text-align:left;margin-left:-69.15pt;margin-top:4.3pt;width:63.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" fillcolor="#b4c6e7 [1304]" strokecolor="black [3213]" strokeweight="1pt">
                <v:stroke joinstyle="miter"/>
                <v:textbox>
                  <w:txbxContent>
                    <w:p w14:paraId="56410958" w14:textId="25E7954C" w:rsidR="00D964A6" w:rsidRPr="00774AB8" w:rsidRDefault="00D964A6" w:rsidP="00D964A6">
                      <w:pPr>
                        <w:jc w:val="center"/>
                        <w:rPr>
                          <w:b/>
                        </w:rPr>
                      </w:pPr>
                      <w:r w:rsidRPr="00774AB8">
                        <w:rPr>
                          <w:b/>
                          <w:sz w:val="20"/>
                        </w:rPr>
                        <w:t>Nouve</w:t>
                      </w:r>
                      <w:r w:rsidRPr="00774AB8">
                        <w:rPr>
                          <w:b/>
                        </w:rPr>
                        <w:t>au</w:t>
                      </w:r>
                    </w:p>
                  </w:txbxContent>
                </v:textbox>
              </v:roundrect>
            </w:pict>
          </mc:Fallback>
        </mc:AlternateContent>
      </w:r>
      <w:r w:rsidR="00AF646F" w:rsidRPr="00774AB8">
        <w:rPr>
          <w:rStyle w:val="markedcontent"/>
          <w:rFonts w:cs="Arial"/>
        </w:rPr>
        <w:t>A la suite de concertations menées avec les associations d’élus locaux, et afin de tenir compte des retours des différents acteurs, des ajustements de la réforme ont été adoptés en loi de finances pour 2025 (article 99). Il est notamment prévu que les communes auparavant situées en ZRR et n’ayant pas été classées FRR au 1</w:t>
      </w:r>
      <w:r w:rsidR="00AF646F" w:rsidRPr="00774AB8">
        <w:rPr>
          <w:rStyle w:val="markedcontent"/>
          <w:rFonts w:cs="Arial"/>
          <w:vertAlign w:val="superscript"/>
        </w:rPr>
        <w:t>er</w:t>
      </w:r>
      <w:r w:rsidR="00AF646F" w:rsidRPr="00774AB8">
        <w:rPr>
          <w:rStyle w:val="markedcontent"/>
          <w:rFonts w:cs="Arial"/>
        </w:rPr>
        <w:t xml:space="preserve"> juillet 2024, bénéficient </w:t>
      </w:r>
      <w:r w:rsidR="00935B78" w:rsidRPr="00774AB8">
        <w:rPr>
          <w:rStyle w:val="markedcontent"/>
          <w:rFonts w:cs="Arial"/>
        </w:rPr>
        <w:t xml:space="preserve">désormais </w:t>
      </w:r>
      <w:r w:rsidR="00AF646F" w:rsidRPr="00774AB8">
        <w:rPr>
          <w:rStyle w:val="markedcontent"/>
          <w:rFonts w:cs="Arial"/>
        </w:rPr>
        <w:t xml:space="preserve">des effets de ce nouveau zonage, conformément à l’annonce du </w:t>
      </w:r>
      <w:r w:rsidR="00EE595A" w:rsidRPr="00774AB8">
        <w:rPr>
          <w:rStyle w:val="markedcontent"/>
          <w:rFonts w:cs="Arial"/>
        </w:rPr>
        <w:t xml:space="preserve">précédent </w:t>
      </w:r>
      <w:r w:rsidR="00AF646F" w:rsidRPr="00774AB8">
        <w:rPr>
          <w:rStyle w:val="markedcontent"/>
          <w:rFonts w:cs="Arial"/>
        </w:rPr>
        <w:t>Gouvernement devant l’Assemblée nationale le 4 juin 2024.</w:t>
      </w:r>
    </w:p>
    <w:p w14:paraId="2E4D6292" w14:textId="0F95278D" w:rsidR="00A16C6D" w:rsidRDefault="00AF646F" w:rsidP="00F03631">
      <w:pPr>
        <w:spacing w:before="100" w:beforeAutospacing="1" w:after="100" w:afterAutospacing="1"/>
        <w:jc w:val="both"/>
        <w:rPr>
          <w:rStyle w:val="LienInternet"/>
          <w:color w:val="auto"/>
        </w:rPr>
      </w:pPr>
      <w:r>
        <w:lastRenderedPageBreak/>
        <w:t xml:space="preserve">L’éligibilité d’une commune au dispositif FRR peut être vérifiée via </w:t>
      </w:r>
      <w:r>
        <w:rPr>
          <w:rStyle w:val="LienInternet"/>
          <w:color w:val="auto"/>
        </w:rPr>
        <w:t>la liste accessible sur le site «</w:t>
      </w:r>
      <w:r>
        <w:rPr>
          <w:rStyle w:val="LienInternet"/>
          <w:rFonts w:ascii="Calibri" w:hAnsi="Calibri" w:cs="Calibri"/>
          <w:color w:val="auto"/>
        </w:rPr>
        <w:t> </w:t>
      </w:r>
      <w:r>
        <w:rPr>
          <w:rStyle w:val="LienInternet"/>
          <w:color w:val="auto"/>
        </w:rPr>
        <w:t>collectivites-locales.gouv.fr</w:t>
      </w:r>
      <w:r>
        <w:rPr>
          <w:rStyle w:val="LienInternet"/>
          <w:rFonts w:ascii="Calibri" w:hAnsi="Calibri" w:cs="Calibri"/>
          <w:color w:val="auto"/>
        </w:rPr>
        <w:t> </w:t>
      </w:r>
      <w:r>
        <w:rPr>
          <w:rStyle w:val="LienInternet"/>
          <w:rFonts w:cs="Marianne"/>
          <w:color w:val="auto"/>
        </w:rPr>
        <w:t>»</w:t>
      </w:r>
      <w:r>
        <w:rPr>
          <w:rStyle w:val="Ancredenotedebasdepage"/>
          <w:rFonts w:cs="Marianne"/>
          <w:u w:val="single"/>
        </w:rPr>
        <w:footnoteReference w:id="1"/>
      </w:r>
      <w:r>
        <w:rPr>
          <w:rStyle w:val="LienInternet"/>
          <w:color w:val="auto"/>
        </w:rPr>
        <w:t>.</w:t>
      </w:r>
    </w:p>
    <w:p w14:paraId="53F72176" w14:textId="662706CA" w:rsidR="001E01AF" w:rsidRPr="00F03631" w:rsidRDefault="00AF646F" w:rsidP="00F03631">
      <w:pPr>
        <w:pStyle w:val="Titre2"/>
        <w:pageBreakBefore w:val="0"/>
        <w:rPr>
          <w:i/>
          <w:sz w:val="28"/>
          <w:szCs w:val="28"/>
          <w:u w:val="single"/>
        </w:rPr>
      </w:pPr>
      <w:bookmarkStart w:id="27" w:name="_Toc192844107"/>
      <w:bookmarkStart w:id="28" w:name="_Toc192849380"/>
      <w:r w:rsidRPr="00F03631">
        <w:rPr>
          <w:rStyle w:val="LienInternet"/>
          <w:i/>
          <w:color w:val="auto"/>
          <w:sz w:val="28"/>
          <w:szCs w:val="28"/>
        </w:rPr>
        <w:t>Un</w:t>
      </w:r>
      <w:r w:rsidRPr="00F03631">
        <w:rPr>
          <w:i/>
          <w:sz w:val="28"/>
          <w:szCs w:val="28"/>
          <w:u w:val="single"/>
        </w:rPr>
        <w:t xml:space="preserve"> zonage à deux niveaux pour aider les communes en fonction de leurs besoins</w:t>
      </w:r>
      <w:bookmarkEnd w:id="27"/>
      <w:bookmarkEnd w:id="28"/>
    </w:p>
    <w:p w14:paraId="619E8778" w14:textId="77777777" w:rsidR="0023081F" w:rsidRDefault="0023081F">
      <w:pPr>
        <w:rPr>
          <w:rFonts w:eastAsia="Times New Roman" w:cs="Times New Roman"/>
          <w:lang w:eastAsia="fr-FR"/>
        </w:rPr>
      </w:pPr>
    </w:p>
    <w:p w14:paraId="4ACB9BCF" w14:textId="44ED6092" w:rsidR="001E01AF" w:rsidRDefault="00AF646F">
      <w:r>
        <w:rPr>
          <w:rFonts w:eastAsia="Times New Roman" w:cs="Times New Roman"/>
          <w:lang w:eastAsia="fr-FR"/>
        </w:rPr>
        <w:t>Trois objectifs sous-tendent cette réforme</w:t>
      </w:r>
      <w:r>
        <w:rPr>
          <w:rFonts w:ascii="Calibri" w:eastAsia="Times New Roman" w:hAnsi="Calibri" w:cs="Calibri"/>
          <w:lang w:eastAsia="fr-FR"/>
        </w:rPr>
        <w:t xml:space="preserve">, </w:t>
      </w:r>
      <w:r>
        <w:rPr>
          <w:rFonts w:eastAsia="Times New Roman" w:cs="Times New Roman"/>
          <w:lang w:eastAsia="fr-FR"/>
        </w:rPr>
        <w:t>l’efficacité, l’équité et la lisibilité. Ainsi</w:t>
      </w:r>
      <w:r>
        <w:rPr>
          <w:rFonts w:ascii="Calibri" w:eastAsia="Times New Roman" w:hAnsi="Calibri" w:cs="Calibri"/>
          <w:lang w:eastAsia="fr-FR"/>
        </w:rPr>
        <w:t> </w:t>
      </w:r>
      <w:r>
        <w:rPr>
          <w:rFonts w:eastAsia="Times New Roman" w:cs="Times New Roman"/>
          <w:lang w:eastAsia="fr-FR"/>
        </w:rPr>
        <w:t>:</w:t>
      </w:r>
    </w:p>
    <w:p w14:paraId="00253C47" w14:textId="77777777" w:rsidR="001E01AF" w:rsidRDefault="00AF646F">
      <w:pPr>
        <w:pStyle w:val="Paragraphedeliste"/>
        <w:numPr>
          <w:ilvl w:val="0"/>
          <w:numId w:val="11"/>
        </w:numPr>
        <w:spacing w:line="252" w:lineRule="auto"/>
        <w:jc w:val="both"/>
      </w:pPr>
      <w:r>
        <w:t>L’entrée en vigueur du zonage France ruralités revitalisation emporte la suppression des zones de revitalisation rurale (ZRR) et des zones de revitalisation des commerces en milieu rural (Zorcomir), dispositif peu connu et très peu mobilisé. La durée et les régimes d’exonérations fiscales applicables sont par ailleurs harmonisés au sein de FRR, pour plus de lisibilité.</w:t>
      </w:r>
    </w:p>
    <w:p w14:paraId="2F862EBC" w14:textId="77777777" w:rsidR="001E01AF" w:rsidRDefault="00AF646F">
      <w:pPr>
        <w:pStyle w:val="Paragraphedeliste"/>
        <w:numPr>
          <w:ilvl w:val="0"/>
          <w:numId w:val="11"/>
        </w:numPr>
        <w:spacing w:line="252" w:lineRule="auto"/>
        <w:jc w:val="both"/>
      </w:pPr>
      <w:r>
        <w:t>Les critères de zonage sont actualisés et ajustés, pour plus d’équité.</w:t>
      </w:r>
    </w:p>
    <w:p w14:paraId="49BBABF4" w14:textId="77777777" w:rsidR="001E01AF" w:rsidRDefault="00AF646F">
      <w:pPr>
        <w:pStyle w:val="Paragraphedeliste"/>
        <w:numPr>
          <w:ilvl w:val="0"/>
          <w:numId w:val="11"/>
        </w:numPr>
        <w:spacing w:line="252" w:lineRule="auto"/>
        <w:jc w:val="both"/>
      </w:pPr>
      <w:r>
        <w:t>La déclinaison du zonage FRR en 2 niveaux d’intervention</w:t>
      </w:r>
      <w:r>
        <w:rPr>
          <w:rFonts w:ascii="Calibri" w:hAnsi="Calibri" w:cs="Calibri"/>
        </w:rPr>
        <w:t> </w:t>
      </w:r>
      <w:r>
        <w:t>permet d’apporter un soutien renforcé aux territoires les plus fragiles selon des critères objectifs de vulnérabilité des territoires ruraux</w:t>
      </w:r>
      <w:r>
        <w:rPr>
          <w:rFonts w:ascii="Calibri" w:hAnsi="Calibri" w:cs="Calibri"/>
        </w:rPr>
        <w:t> :</w:t>
      </w:r>
    </w:p>
    <w:p w14:paraId="3FC086B5" w14:textId="6AB2C744" w:rsidR="001E01AF" w:rsidRDefault="006E6650">
      <w:pPr>
        <w:pStyle w:val="Paragraphedeliste"/>
        <w:numPr>
          <w:ilvl w:val="1"/>
          <w:numId w:val="11"/>
        </w:numPr>
        <w:spacing w:line="252" w:lineRule="auto"/>
        <w:jc w:val="both"/>
      </w:pPr>
      <w:r>
        <w:rPr>
          <w:rFonts w:cs="Arial"/>
          <w:noProof/>
          <w:lang w:eastAsia="fr-FR"/>
        </w:rPr>
        <mc:AlternateContent>
          <mc:Choice Requires="wps">
            <w:drawing>
              <wp:anchor distT="0" distB="0" distL="114300" distR="114300" simplePos="0" relativeHeight="251673600" behindDoc="0" locked="0" layoutInCell="1" allowOverlap="1" wp14:anchorId="12632A41" wp14:editId="0499C786">
                <wp:simplePos x="0" y="0"/>
                <wp:positionH relativeFrom="column">
                  <wp:posOffset>-283779</wp:posOffset>
                </wp:positionH>
                <wp:positionV relativeFrom="paragraph">
                  <wp:posOffset>96257</wp:posOffset>
                </wp:positionV>
                <wp:extent cx="809296" cy="294289"/>
                <wp:effectExtent l="0" t="0" r="10160" b="10795"/>
                <wp:wrapNone/>
                <wp:docPr id="13" name="Rectangle à coins arrondis 13"/>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8A6176" w14:textId="77777777" w:rsidR="006E6650" w:rsidRPr="00774AB8" w:rsidRDefault="006E6650" w:rsidP="006E6650">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32A41" id="Rectangle à coins arrondis 13" o:spid="_x0000_s1027" style="position:absolute;left:0;text-align:left;margin-left:-22.35pt;margin-top:7.6pt;width:63.7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" fillcolor="#b4c6e7 [1304]" strokecolor="black [3213]" strokeweight="1pt">
                <v:stroke joinstyle="miter"/>
                <v:textbox>
                  <w:txbxContent>
                    <w:p w14:paraId="078A6176" w14:textId="77777777" w:rsidR="006E6650" w:rsidRPr="00774AB8" w:rsidRDefault="006E6650" w:rsidP="006E6650">
                      <w:pPr>
                        <w:jc w:val="center"/>
                        <w:rPr>
                          <w:b/>
                        </w:rPr>
                      </w:pPr>
                      <w:r w:rsidRPr="00774AB8">
                        <w:rPr>
                          <w:b/>
                          <w:sz w:val="20"/>
                        </w:rPr>
                        <w:t>Nouve</w:t>
                      </w:r>
                      <w:r w:rsidRPr="00774AB8">
                        <w:rPr>
                          <w:b/>
                        </w:rPr>
                        <w:t>au</w:t>
                      </w:r>
                    </w:p>
                  </w:txbxContent>
                </v:textbox>
              </v:roundrect>
            </w:pict>
          </mc:Fallback>
        </mc:AlternateContent>
      </w:r>
      <w:r w:rsidR="00AF646F">
        <w:rPr>
          <w:rFonts w:cs="Calibri"/>
        </w:rPr>
        <w:t xml:space="preserve">Un </w:t>
      </w:r>
      <w:r w:rsidR="00AF646F" w:rsidRPr="00F9202F">
        <w:rPr>
          <w:rFonts w:cs="Calibri"/>
          <w:b/>
        </w:rPr>
        <w:t>niveau «</w:t>
      </w:r>
      <w:r w:rsidR="00AF646F" w:rsidRPr="00F9202F">
        <w:rPr>
          <w:rFonts w:ascii="Calibri" w:hAnsi="Calibri" w:cs="Calibri"/>
          <w:b/>
        </w:rPr>
        <w:t> </w:t>
      </w:r>
      <w:r w:rsidR="00AF646F" w:rsidRPr="00F9202F">
        <w:rPr>
          <w:rFonts w:cs="Calibri"/>
          <w:b/>
        </w:rPr>
        <w:t>socle</w:t>
      </w:r>
      <w:r w:rsidR="00AF646F" w:rsidRPr="00F9202F">
        <w:rPr>
          <w:rFonts w:ascii="Calibri" w:hAnsi="Calibri" w:cs="Calibri"/>
          <w:b/>
        </w:rPr>
        <w:t> </w:t>
      </w:r>
      <w:r w:rsidR="00AF646F" w:rsidRPr="00F9202F">
        <w:rPr>
          <w:rFonts w:cs="Marianne"/>
          <w:b/>
        </w:rPr>
        <w:t>»</w:t>
      </w:r>
      <w:r w:rsidR="00AF646F">
        <w:rPr>
          <w:rFonts w:cs="Calibri"/>
        </w:rPr>
        <w:t xml:space="preserve"> qui concerne </w:t>
      </w:r>
      <w:r w:rsidR="004444B7">
        <w:rPr>
          <w:rFonts w:cs="Calibri"/>
        </w:rPr>
        <w:t xml:space="preserve">près de </w:t>
      </w:r>
      <w:r w:rsidR="004444B7" w:rsidRPr="00F9202F">
        <w:rPr>
          <w:rFonts w:cs="Calibri"/>
          <w:b/>
        </w:rPr>
        <w:t xml:space="preserve">20 </w:t>
      </w:r>
      <w:r w:rsidR="00AF646F" w:rsidRPr="00F9202F">
        <w:rPr>
          <w:rFonts w:cs="Calibri"/>
          <w:b/>
        </w:rPr>
        <w:t>000</w:t>
      </w:r>
      <w:r w:rsidR="00AF646F" w:rsidRPr="00F9202F">
        <w:rPr>
          <w:b/>
          <w:iCs/>
        </w:rPr>
        <w:t xml:space="preserve"> communes</w:t>
      </w:r>
      <w:r w:rsidR="00AF646F" w:rsidRPr="00F9202F">
        <w:rPr>
          <w:iCs/>
        </w:rPr>
        <w:t xml:space="preserve"> de métropole et d’outre-mer</w:t>
      </w:r>
      <w:r w:rsidR="00910A56" w:rsidRPr="00F9202F">
        <w:rPr>
          <w:iCs/>
        </w:rPr>
        <w:t xml:space="preserve"> dont </w:t>
      </w:r>
      <w:r w:rsidR="00505F1B">
        <w:rPr>
          <w:iCs/>
        </w:rPr>
        <w:t xml:space="preserve">près de </w:t>
      </w:r>
      <w:r w:rsidR="00910A56" w:rsidRPr="00F9202F">
        <w:rPr>
          <w:iCs/>
        </w:rPr>
        <w:t>17</w:t>
      </w:r>
      <w:r w:rsidR="00910A56" w:rsidRPr="00F9202F">
        <w:rPr>
          <w:rFonts w:ascii="Calibri" w:hAnsi="Calibri" w:cs="Calibri"/>
          <w:iCs/>
        </w:rPr>
        <w:t> </w:t>
      </w:r>
      <w:r w:rsidR="00910A56" w:rsidRPr="00F9202F">
        <w:rPr>
          <w:iCs/>
        </w:rPr>
        <w:t>8</w:t>
      </w:r>
      <w:r w:rsidR="00505F1B">
        <w:rPr>
          <w:iCs/>
        </w:rPr>
        <w:t>00 communes classées en FRR et près de 2 200</w:t>
      </w:r>
      <w:r w:rsidR="00910A56" w:rsidRPr="00F9202F">
        <w:rPr>
          <w:iCs/>
        </w:rPr>
        <w:t xml:space="preserve"> communes bénéficiant des effets de ce nouveau zonage</w:t>
      </w:r>
      <w:r w:rsidR="00910A56" w:rsidRPr="00F9202F">
        <w:rPr>
          <w:rFonts w:ascii="Calibri" w:hAnsi="Calibri" w:cs="Calibri"/>
          <w:iCs/>
        </w:rPr>
        <w:t> </w:t>
      </w:r>
      <w:r w:rsidR="004444B7" w:rsidRPr="00F9202F">
        <w:rPr>
          <w:iCs/>
        </w:rPr>
        <w:t>;</w:t>
      </w:r>
    </w:p>
    <w:p w14:paraId="57FCAA24" w14:textId="0A9EC22B" w:rsidR="001E01AF" w:rsidRDefault="00AF646F">
      <w:pPr>
        <w:pStyle w:val="Paragraphedeliste"/>
        <w:numPr>
          <w:ilvl w:val="1"/>
          <w:numId w:val="11"/>
        </w:numPr>
        <w:spacing w:line="252" w:lineRule="auto"/>
        <w:jc w:val="both"/>
      </w:pPr>
      <w:r>
        <w:rPr>
          <w:rFonts w:cs="Calibri"/>
        </w:rPr>
        <w:t xml:space="preserve">Un </w:t>
      </w:r>
      <w:r w:rsidRPr="00F9202F">
        <w:rPr>
          <w:rFonts w:cs="Calibri"/>
          <w:b/>
        </w:rPr>
        <w:t>niveau renforcé, «</w:t>
      </w:r>
      <w:r w:rsidRPr="00F9202F">
        <w:rPr>
          <w:rFonts w:ascii="Calibri" w:hAnsi="Calibri" w:cs="Calibri"/>
          <w:b/>
        </w:rPr>
        <w:t> </w:t>
      </w:r>
      <w:r w:rsidRPr="00F9202F">
        <w:rPr>
          <w:rFonts w:cs="Calibri"/>
          <w:b/>
        </w:rPr>
        <w:t>FRR+</w:t>
      </w:r>
      <w:r w:rsidRPr="00F9202F">
        <w:rPr>
          <w:rFonts w:ascii="Calibri" w:hAnsi="Calibri" w:cs="Calibri"/>
          <w:b/>
        </w:rPr>
        <w:t> </w:t>
      </w:r>
      <w:r w:rsidRPr="00F9202F">
        <w:rPr>
          <w:rFonts w:cs="Marianne"/>
          <w:b/>
        </w:rPr>
        <w:t>»</w:t>
      </w:r>
      <w:r>
        <w:rPr>
          <w:rFonts w:cs="Calibri"/>
        </w:rPr>
        <w:t xml:space="preserve">, pour le quart </w:t>
      </w:r>
      <w:r w:rsidR="00EE595A">
        <w:rPr>
          <w:rFonts w:cs="Calibri"/>
        </w:rPr>
        <w:t>des communes classées FRR</w:t>
      </w:r>
      <w:r>
        <w:rPr>
          <w:rFonts w:cs="Calibri"/>
        </w:rPr>
        <w:t>, permettant de renforcer le soutien aux territoires ruraux les plus vulnérables, avec un élargissement de l’assiette d’éligibilité (entreprises et opérations).</w:t>
      </w:r>
    </w:p>
    <w:p w14:paraId="2118F0F0" w14:textId="2FDD7513" w:rsidR="00A16C6D" w:rsidRDefault="00AF646F" w:rsidP="00F03631">
      <w:pPr>
        <w:spacing w:line="252" w:lineRule="auto"/>
        <w:jc w:val="both"/>
        <w:rPr>
          <w:rFonts w:cs="Calibri"/>
        </w:rPr>
      </w:pPr>
      <w:r>
        <w:rPr>
          <w:rFonts w:cs="Calibri"/>
        </w:rPr>
        <w:t>La mise en place de ce second niveau de zonage («</w:t>
      </w:r>
      <w:r>
        <w:rPr>
          <w:rFonts w:ascii="Calibri" w:hAnsi="Calibri" w:cs="Calibri"/>
        </w:rPr>
        <w:t> </w:t>
      </w:r>
      <w:r>
        <w:rPr>
          <w:rFonts w:cs="Calibri"/>
        </w:rPr>
        <w:t>FRR+</w:t>
      </w:r>
      <w:r>
        <w:rPr>
          <w:rFonts w:ascii="Calibri" w:hAnsi="Calibri" w:cs="Calibri"/>
        </w:rPr>
        <w:t> </w:t>
      </w:r>
      <w:r>
        <w:rPr>
          <w:rFonts w:cs="Marianne"/>
        </w:rPr>
        <w:t>»</w:t>
      </w:r>
      <w:r>
        <w:rPr>
          <w:rFonts w:cs="Calibri"/>
        </w:rPr>
        <w:t>) interviendra en 2025, selon des modalités en cours d’élaboration, qui seront précisées dans une version ultérieure de cette FAQ.</w:t>
      </w:r>
    </w:p>
    <w:p w14:paraId="2375E877" w14:textId="25045B50" w:rsidR="001E01AF" w:rsidRPr="0023081F" w:rsidRDefault="00AF646F" w:rsidP="001D432A">
      <w:pPr>
        <w:pStyle w:val="Titre2"/>
        <w:pageBreakBefore w:val="0"/>
        <w:rPr>
          <w:rStyle w:val="LienInternet"/>
          <w:i/>
          <w:color w:val="auto"/>
          <w:sz w:val="28"/>
        </w:rPr>
      </w:pPr>
      <w:bookmarkStart w:id="29" w:name="_Toc192844108"/>
      <w:bookmarkStart w:id="30" w:name="_Toc192849381"/>
      <w:r w:rsidRPr="0023081F">
        <w:rPr>
          <w:rStyle w:val="LienInternet"/>
          <w:i/>
          <w:color w:val="auto"/>
          <w:sz w:val="28"/>
        </w:rPr>
        <w:t>Les critères de classement en FRR</w:t>
      </w:r>
      <w:r w:rsidRPr="0023081F">
        <w:rPr>
          <w:rStyle w:val="LienInternet"/>
          <w:rFonts w:ascii="Calibri" w:hAnsi="Calibri" w:cs="Calibri"/>
          <w:i/>
          <w:color w:val="auto"/>
          <w:sz w:val="28"/>
        </w:rPr>
        <w:t> </w:t>
      </w:r>
      <w:r w:rsidRPr="0023081F">
        <w:rPr>
          <w:rStyle w:val="LienInternet"/>
          <w:i/>
          <w:color w:val="auto"/>
          <w:sz w:val="28"/>
        </w:rPr>
        <w:t>: sur quels critères les communes sont-elles zonées</w:t>
      </w:r>
      <w:r w:rsidRPr="0023081F">
        <w:rPr>
          <w:rStyle w:val="LienInternet"/>
          <w:rFonts w:ascii="Calibri" w:hAnsi="Calibri" w:cs="Calibri"/>
          <w:i/>
          <w:color w:val="auto"/>
          <w:sz w:val="28"/>
        </w:rPr>
        <w:t> </w:t>
      </w:r>
      <w:r w:rsidRPr="0023081F">
        <w:rPr>
          <w:rStyle w:val="LienInternet"/>
          <w:i/>
          <w:color w:val="auto"/>
          <w:sz w:val="28"/>
        </w:rPr>
        <w:t>?</w:t>
      </w:r>
      <w:bookmarkEnd w:id="29"/>
      <w:bookmarkEnd w:id="30"/>
      <w:r w:rsidRPr="0023081F">
        <w:rPr>
          <w:rStyle w:val="LienInternet"/>
          <w:i/>
          <w:color w:val="auto"/>
          <w:sz w:val="28"/>
        </w:rPr>
        <w:t xml:space="preserve"> </w:t>
      </w:r>
    </w:p>
    <w:p w14:paraId="7D63E456" w14:textId="77777777" w:rsidR="001E01AF" w:rsidRDefault="00AF646F">
      <w:pPr>
        <w:spacing w:beforeAutospacing="1" w:afterAutospacing="1"/>
        <w:jc w:val="both"/>
        <w:rPr>
          <w:rFonts w:cs="Arial"/>
        </w:rPr>
      </w:pPr>
      <w:r>
        <w:rPr>
          <w:rFonts w:cs="Arial"/>
        </w:rPr>
        <w:t>Deux principaux critères de classement sont utilisés</w:t>
      </w:r>
      <w:r>
        <w:rPr>
          <w:rFonts w:ascii="Calibri" w:hAnsi="Calibri" w:cs="Calibri"/>
        </w:rPr>
        <w:t> </w:t>
      </w:r>
      <w:r>
        <w:rPr>
          <w:rFonts w:cs="Arial"/>
        </w:rPr>
        <w:t>: la densité de population et le revenu disponible par habitant.</w:t>
      </w:r>
    </w:p>
    <w:p w14:paraId="7C3B9F8A" w14:textId="77777777" w:rsidR="001E01AF" w:rsidRDefault="00AF646F">
      <w:pPr>
        <w:spacing w:beforeAutospacing="1" w:afterAutospacing="1"/>
        <w:jc w:val="both"/>
        <w:rPr>
          <w:rFonts w:cs="Arial"/>
        </w:rPr>
      </w:pPr>
      <w:r>
        <w:rPr>
          <w:rFonts w:cs="Arial"/>
        </w:rPr>
        <w:t>Les données utilisées sont établies par l’Institut national de la statistique et des études économiques (Insee) à partir de celles disponibles au 1</w:t>
      </w:r>
      <w:r>
        <w:rPr>
          <w:rFonts w:cs="Arial"/>
          <w:vertAlign w:val="superscript"/>
        </w:rPr>
        <w:t>er</w:t>
      </w:r>
      <w:r>
        <w:rPr>
          <w:rFonts w:cs="Arial"/>
        </w:rPr>
        <w:t xml:space="preserve"> juillet de l’année précédant le classement. La population prise en compte pour le calcul de la densité de population est la population municipale définie à l’article R. 2151-1 du code général des </w:t>
      </w:r>
      <w:r>
        <w:rPr>
          <w:rFonts w:cs="Arial"/>
        </w:rPr>
        <w:lastRenderedPageBreak/>
        <w:t>collectivités territoriales. Le périmètre des établissements publics de coopération intercommunale à fiscalité</w:t>
      </w:r>
      <w:r>
        <w:rPr>
          <w:rFonts w:ascii="Calibri" w:hAnsi="Calibri" w:cs="Calibri"/>
        </w:rPr>
        <w:t> </w:t>
      </w:r>
      <w:r>
        <w:rPr>
          <w:rFonts w:cs="Arial"/>
        </w:rPr>
        <w:t>propre est celui arr</w:t>
      </w:r>
      <w:r>
        <w:rPr>
          <w:rFonts w:cs="Marianne"/>
        </w:rPr>
        <w:t>ê</w:t>
      </w:r>
      <w:r>
        <w:rPr>
          <w:rFonts w:cs="Arial"/>
        </w:rPr>
        <w:t>t</w:t>
      </w:r>
      <w:r>
        <w:rPr>
          <w:rFonts w:cs="Marianne"/>
        </w:rPr>
        <w:t>é</w:t>
      </w:r>
      <w:r>
        <w:rPr>
          <w:rFonts w:cs="Arial"/>
        </w:rPr>
        <w:t xml:space="preserve"> au 1</w:t>
      </w:r>
      <w:r>
        <w:rPr>
          <w:rFonts w:cs="Arial"/>
          <w:vertAlign w:val="superscript"/>
        </w:rPr>
        <w:t>er</w:t>
      </w:r>
      <w:r>
        <w:rPr>
          <w:rFonts w:cs="Arial"/>
        </w:rPr>
        <w:t xml:space="preserve"> janvier de l</w:t>
      </w:r>
      <w:r>
        <w:rPr>
          <w:rFonts w:cs="Marianne"/>
        </w:rPr>
        <w:t>’</w:t>
      </w:r>
      <w:r>
        <w:rPr>
          <w:rFonts w:cs="Arial"/>
        </w:rPr>
        <w:t>ann</w:t>
      </w:r>
      <w:r>
        <w:rPr>
          <w:rFonts w:cs="Marianne"/>
        </w:rPr>
        <w:t>é</w:t>
      </w:r>
      <w:r>
        <w:rPr>
          <w:rFonts w:cs="Arial"/>
        </w:rPr>
        <w:t>e pr</w:t>
      </w:r>
      <w:r>
        <w:rPr>
          <w:rFonts w:cs="Marianne"/>
        </w:rPr>
        <w:t>é</w:t>
      </w:r>
      <w:r>
        <w:rPr>
          <w:rFonts w:cs="Arial"/>
        </w:rPr>
        <w:t>c</w:t>
      </w:r>
      <w:r>
        <w:rPr>
          <w:rFonts w:cs="Marianne"/>
        </w:rPr>
        <w:t>é</w:t>
      </w:r>
      <w:r>
        <w:rPr>
          <w:rFonts w:cs="Arial"/>
        </w:rPr>
        <w:t>dant la révision du zonage France ruralités revitalisation.</w:t>
      </w:r>
    </w:p>
    <w:p w14:paraId="16646B58" w14:textId="38DE5F3C" w:rsidR="001E01AF" w:rsidRPr="00126118" w:rsidRDefault="00AF646F" w:rsidP="006B5471">
      <w:pPr>
        <w:pStyle w:val="Titre3"/>
        <w:ind w:left="851"/>
        <w:rPr>
          <w:i/>
          <w:color w:val="auto"/>
          <w:sz w:val="24"/>
          <w:u w:val="single"/>
        </w:rPr>
      </w:pPr>
      <w:bookmarkStart w:id="31" w:name="_Toc192844109"/>
      <w:bookmarkStart w:id="32" w:name="_Toc192849382"/>
      <w:r w:rsidRPr="00126118">
        <w:rPr>
          <w:i/>
          <w:color w:val="auto"/>
          <w:sz w:val="24"/>
          <w:u w:val="single"/>
        </w:rPr>
        <w:t>Communes classées en zone France ruralités revitalisation «</w:t>
      </w:r>
      <w:r w:rsidRPr="00126118">
        <w:rPr>
          <w:rFonts w:ascii="Calibri" w:hAnsi="Calibri" w:cs="Calibri"/>
          <w:i/>
          <w:color w:val="auto"/>
          <w:sz w:val="24"/>
          <w:u w:val="single"/>
        </w:rPr>
        <w:t> </w:t>
      </w:r>
      <w:r w:rsidRPr="00126118">
        <w:rPr>
          <w:i/>
          <w:color w:val="auto"/>
          <w:sz w:val="24"/>
          <w:u w:val="single"/>
        </w:rPr>
        <w:t>socle</w:t>
      </w:r>
      <w:r w:rsidRPr="00126118">
        <w:rPr>
          <w:rFonts w:ascii="Calibri" w:hAnsi="Calibri" w:cs="Calibri"/>
          <w:i/>
          <w:color w:val="auto"/>
          <w:sz w:val="24"/>
          <w:u w:val="single"/>
        </w:rPr>
        <w:t> </w:t>
      </w:r>
      <w:r w:rsidRPr="00126118">
        <w:rPr>
          <w:rFonts w:cs="Marianne"/>
          <w:i/>
          <w:color w:val="auto"/>
          <w:sz w:val="24"/>
          <w:u w:val="single"/>
        </w:rPr>
        <w:t>»</w:t>
      </w:r>
      <w:r w:rsidRPr="00126118">
        <w:rPr>
          <w:i/>
          <w:color w:val="auto"/>
          <w:sz w:val="24"/>
          <w:u w:val="single"/>
        </w:rPr>
        <w:t xml:space="preserve"> en application des critères adoptés en loi de finances pour 2024</w:t>
      </w:r>
      <w:r w:rsidRPr="00126118">
        <w:rPr>
          <w:rStyle w:val="Ancredenotedebasdepage"/>
          <w:b w:val="0"/>
          <w:i/>
          <w:color w:val="auto"/>
          <w:sz w:val="24"/>
          <w:u w:val="single"/>
        </w:rPr>
        <w:footnoteReference w:id="2"/>
      </w:r>
      <w:r w:rsidRPr="00126118">
        <w:rPr>
          <w:i/>
          <w:color w:val="auto"/>
          <w:sz w:val="24"/>
          <w:u w:val="single"/>
        </w:rPr>
        <w:t xml:space="preserve"> </w:t>
      </w:r>
      <w:r w:rsidRPr="00126118">
        <w:rPr>
          <w:rFonts w:cs="Marianne"/>
          <w:i/>
          <w:color w:val="auto"/>
          <w:sz w:val="24"/>
          <w:u w:val="single"/>
        </w:rPr>
        <w:t>:</w:t>
      </w:r>
      <w:bookmarkEnd w:id="31"/>
      <w:bookmarkEnd w:id="32"/>
    </w:p>
    <w:p w14:paraId="0774BC7D" w14:textId="77777777" w:rsidR="00A37A97" w:rsidRDefault="00A37A97">
      <w:pPr>
        <w:spacing w:line="252" w:lineRule="auto"/>
        <w:jc w:val="both"/>
        <w:rPr>
          <w:rFonts w:cs="Marianne"/>
          <w:b/>
        </w:rPr>
      </w:pPr>
    </w:p>
    <w:p w14:paraId="2576CC56" w14:textId="4BDA0EC0" w:rsidR="001E01AF" w:rsidRDefault="00AF646F">
      <w:pPr>
        <w:spacing w:line="252" w:lineRule="auto"/>
        <w:jc w:val="both"/>
        <w:rPr>
          <w:rFonts w:cs="Marianne"/>
        </w:rPr>
      </w:pPr>
      <w:r>
        <w:rPr>
          <w:rFonts w:cs="Marianne"/>
          <w:b/>
        </w:rPr>
        <w:t>En France métropolitaine</w:t>
      </w:r>
      <w:r>
        <w:rPr>
          <w:rFonts w:cs="Marianne"/>
        </w:rPr>
        <w:t>, pour qu’une commune soit classée en FRR, sa population doit être inférieure à 30</w:t>
      </w:r>
      <w:r>
        <w:rPr>
          <w:rFonts w:ascii="Calibri" w:hAnsi="Calibri" w:cs="Calibri"/>
        </w:rPr>
        <w:t> </w:t>
      </w:r>
      <w:r>
        <w:rPr>
          <w:rFonts w:cs="Marianne"/>
        </w:rPr>
        <w:t>000 habitants et elle doit être située soit</w:t>
      </w:r>
      <w:r>
        <w:rPr>
          <w:rFonts w:ascii="Calibri" w:hAnsi="Calibri" w:cs="Calibri"/>
        </w:rPr>
        <w:t> </w:t>
      </w:r>
      <w:r>
        <w:rPr>
          <w:rFonts w:cs="Marianne"/>
        </w:rPr>
        <w:t>:</w:t>
      </w:r>
    </w:p>
    <w:p w14:paraId="5989D003" w14:textId="77777777" w:rsidR="001E01AF" w:rsidRDefault="00AF646F">
      <w:pPr>
        <w:pStyle w:val="Paragraphedeliste"/>
        <w:numPr>
          <w:ilvl w:val="2"/>
          <w:numId w:val="12"/>
        </w:numPr>
        <w:spacing w:line="252" w:lineRule="auto"/>
        <w:jc w:val="both"/>
        <w:rPr>
          <w:u w:val="single"/>
        </w:rPr>
      </w:pPr>
      <w:r>
        <w:rPr>
          <w:u w:val="single"/>
        </w:rPr>
        <w:t>Dans un établissement public de coopération intercommunale à fiscalité propre (EPCI-FP) remplissant les conditions suivantes</w:t>
      </w:r>
      <w:r>
        <w:rPr>
          <w:rFonts w:ascii="Calibri" w:hAnsi="Calibri" w:cs="Calibri"/>
          <w:u w:val="single"/>
        </w:rPr>
        <w:t> </w:t>
      </w:r>
      <w:r>
        <w:rPr>
          <w:u w:val="single"/>
        </w:rPr>
        <w:t>:</w:t>
      </w:r>
    </w:p>
    <w:p w14:paraId="16FDFBF4" w14:textId="77777777" w:rsidR="001E01AF" w:rsidRDefault="001E01AF">
      <w:pPr>
        <w:pStyle w:val="Paragraphedeliste"/>
        <w:spacing w:line="252" w:lineRule="auto"/>
        <w:jc w:val="both"/>
      </w:pPr>
    </w:p>
    <w:p w14:paraId="28B77298" w14:textId="77777777" w:rsidR="001E01AF" w:rsidRDefault="00AF646F">
      <w:pPr>
        <w:pStyle w:val="Paragraphedeliste"/>
        <w:numPr>
          <w:ilvl w:val="0"/>
          <w:numId w:val="3"/>
        </w:numPr>
        <w:spacing w:line="252" w:lineRule="auto"/>
        <w:jc w:val="both"/>
      </w:pPr>
      <w:r>
        <w:t>Sa densité de population est inférieure ou égale à la densité médiane nationale des EPCI-FP de France métropolitaine (soit 63,57 hab/km²) ;</w:t>
      </w:r>
    </w:p>
    <w:p w14:paraId="20B3F87A" w14:textId="77777777" w:rsidR="001E01AF" w:rsidRDefault="001E01AF">
      <w:pPr>
        <w:pStyle w:val="Paragraphedeliste"/>
        <w:spacing w:line="252" w:lineRule="auto"/>
        <w:jc w:val="both"/>
      </w:pPr>
    </w:p>
    <w:p w14:paraId="6F78E0E9" w14:textId="0DBA9140" w:rsidR="00002F1C" w:rsidRDefault="00AF646F" w:rsidP="00002F1C">
      <w:pPr>
        <w:pStyle w:val="Paragraphedeliste"/>
        <w:numPr>
          <w:ilvl w:val="0"/>
          <w:numId w:val="3"/>
        </w:numPr>
        <w:spacing w:line="252" w:lineRule="auto"/>
        <w:jc w:val="both"/>
      </w:pPr>
      <w:r>
        <w:t xml:space="preserve">Son revenu disponible médian par unité de consommation est inférieur ou égal à la médiane des revenus médians par EPCI-FP de France métropolitaine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570 €)</w:t>
      </w:r>
      <w:r>
        <w:t>.</w:t>
      </w:r>
    </w:p>
    <w:p w14:paraId="4962F7BA" w14:textId="77777777" w:rsidR="00002F1C" w:rsidRDefault="00002F1C" w:rsidP="00002F1C">
      <w:pPr>
        <w:pStyle w:val="Paragraphedeliste"/>
        <w:spacing w:line="252" w:lineRule="auto"/>
        <w:jc w:val="both"/>
      </w:pPr>
    </w:p>
    <w:p w14:paraId="41C4789B" w14:textId="77777777" w:rsidR="001E01AF" w:rsidRDefault="00AF646F">
      <w:pPr>
        <w:pStyle w:val="Paragraphedeliste"/>
        <w:numPr>
          <w:ilvl w:val="2"/>
          <w:numId w:val="12"/>
        </w:numPr>
        <w:rPr>
          <w:rFonts w:cs="Marianne"/>
          <w:u w:val="single"/>
        </w:rPr>
      </w:pPr>
      <w:r>
        <w:rPr>
          <w:rFonts w:cs="Marianne"/>
          <w:u w:val="single"/>
        </w:rPr>
        <w:t>Dans un «</w:t>
      </w:r>
      <w:r>
        <w:rPr>
          <w:rFonts w:ascii="Calibri" w:hAnsi="Calibri" w:cs="Calibri"/>
          <w:u w:val="single"/>
        </w:rPr>
        <w:t> </w:t>
      </w:r>
      <w:r>
        <w:rPr>
          <w:rFonts w:cs="Marianne"/>
          <w:u w:val="single"/>
        </w:rPr>
        <w:t>EPCI-FP de montagne</w:t>
      </w:r>
      <w:r>
        <w:rPr>
          <w:rFonts w:ascii="Calibri" w:hAnsi="Calibri" w:cs="Calibri"/>
          <w:u w:val="single"/>
        </w:rPr>
        <w:t> </w:t>
      </w:r>
      <w:r>
        <w:rPr>
          <w:rFonts w:cs="Marianne"/>
          <w:u w:val="single"/>
        </w:rPr>
        <w:t>» remplissant les conditions suivantes</w:t>
      </w:r>
      <w:r>
        <w:rPr>
          <w:rFonts w:ascii="Calibri" w:hAnsi="Calibri" w:cs="Calibri"/>
          <w:u w:val="single"/>
        </w:rPr>
        <w:t> </w:t>
      </w:r>
      <w:r>
        <w:rPr>
          <w:rFonts w:cs="Marianne"/>
          <w:u w:val="single"/>
        </w:rPr>
        <w:t xml:space="preserve">: </w:t>
      </w:r>
    </w:p>
    <w:p w14:paraId="2953BB6F" w14:textId="77777777" w:rsidR="001E01AF" w:rsidRDefault="001E01AF">
      <w:pPr>
        <w:pStyle w:val="Paragraphedeliste"/>
        <w:ind w:left="1080"/>
        <w:jc w:val="both"/>
        <w:rPr>
          <w:rFonts w:cs="Marianne"/>
        </w:rPr>
      </w:pPr>
    </w:p>
    <w:p w14:paraId="0C4A6519" w14:textId="77777777" w:rsidR="001E01AF" w:rsidRDefault="00AF646F">
      <w:pPr>
        <w:pStyle w:val="Paragraphedeliste"/>
        <w:numPr>
          <w:ilvl w:val="0"/>
          <w:numId w:val="3"/>
        </w:numPr>
        <w:jc w:val="both"/>
        <w:rPr>
          <w:rFonts w:cs="Marianne"/>
        </w:rPr>
      </w:pPr>
      <w:r>
        <w:rPr>
          <w:rFonts w:cs="Marianne"/>
        </w:rPr>
        <w:t>Au moins 50 % de sa population est située en zone de montagne (au sens de l’article 3 de la loi du 9 janvier 1985 relative au développement et à la protection de la montagne)</w:t>
      </w:r>
      <w:r>
        <w:rPr>
          <w:rFonts w:ascii="Calibri" w:hAnsi="Calibri" w:cs="Calibri"/>
        </w:rPr>
        <w:t> </w:t>
      </w:r>
      <w:r>
        <w:rPr>
          <w:rFonts w:cs="Marianne"/>
        </w:rPr>
        <w:t>;</w:t>
      </w:r>
    </w:p>
    <w:p w14:paraId="5C24A47D" w14:textId="1BEEEAD4" w:rsidR="00146D19" w:rsidRDefault="00AF646F" w:rsidP="00146D19">
      <w:pPr>
        <w:pStyle w:val="Paragraphedeliste"/>
        <w:numPr>
          <w:ilvl w:val="0"/>
          <w:numId w:val="3"/>
        </w:numPr>
        <w:spacing w:line="252" w:lineRule="auto"/>
        <w:jc w:val="both"/>
      </w:pPr>
      <w:r>
        <w:t>Sa densité de population est inférieure ou égale à la densité médiane nationale des EPCI-FP de France métropolitaine (soit 63,57 hab/km²) ;</w:t>
      </w:r>
    </w:p>
    <w:p w14:paraId="37B3795E" w14:textId="77777777" w:rsidR="00146D19" w:rsidRDefault="00146D19" w:rsidP="00146D19">
      <w:pPr>
        <w:pStyle w:val="Paragraphedeliste"/>
        <w:spacing w:line="252" w:lineRule="auto"/>
        <w:jc w:val="both"/>
      </w:pPr>
    </w:p>
    <w:p w14:paraId="6B8F8D19" w14:textId="4042C24C" w:rsidR="001E01AF" w:rsidRDefault="00AF646F" w:rsidP="00146D19">
      <w:pPr>
        <w:pStyle w:val="Paragraphedeliste"/>
        <w:numPr>
          <w:ilvl w:val="0"/>
          <w:numId w:val="3"/>
        </w:numPr>
        <w:spacing w:line="252" w:lineRule="auto"/>
        <w:jc w:val="both"/>
      </w:pPr>
      <w:r>
        <w:t>Son revenu disponible par unité de consommation médian est inférieur ou égal au 75e centile des revenus disponibles médians par EPCI-FP de France métropolitaine (soit 22 822,5 €).</w:t>
      </w:r>
    </w:p>
    <w:p w14:paraId="7D24D79D" w14:textId="77777777" w:rsidR="001E01AF" w:rsidRDefault="001E01AF">
      <w:pPr>
        <w:pStyle w:val="Paragraphedeliste"/>
        <w:spacing w:line="252" w:lineRule="auto"/>
        <w:jc w:val="both"/>
      </w:pPr>
    </w:p>
    <w:p w14:paraId="097092A8" w14:textId="77777777" w:rsidR="001E01AF" w:rsidRDefault="00AF646F">
      <w:pPr>
        <w:pStyle w:val="Paragraphedeliste"/>
        <w:numPr>
          <w:ilvl w:val="2"/>
          <w:numId w:val="12"/>
        </w:numPr>
        <w:rPr>
          <w:rFonts w:cs="Marianne"/>
          <w:u w:val="single"/>
        </w:rPr>
      </w:pPr>
      <w:r>
        <w:rPr>
          <w:rFonts w:cs="Marianne"/>
          <w:u w:val="single"/>
        </w:rPr>
        <w:t>Dans un bassin de vie remplissant les conditions suivantes</w:t>
      </w:r>
      <w:r>
        <w:rPr>
          <w:rFonts w:ascii="Calibri" w:hAnsi="Calibri" w:cs="Calibri"/>
          <w:u w:val="single"/>
        </w:rPr>
        <w:t> </w:t>
      </w:r>
      <w:r>
        <w:rPr>
          <w:rFonts w:cs="Marianne"/>
          <w:u w:val="single"/>
        </w:rPr>
        <w:t>:</w:t>
      </w:r>
    </w:p>
    <w:p w14:paraId="3EB6EACF" w14:textId="77777777" w:rsidR="001E01AF" w:rsidRDefault="001E01AF">
      <w:pPr>
        <w:pStyle w:val="Paragraphedeliste"/>
        <w:ind w:left="1080"/>
        <w:rPr>
          <w:rFonts w:cs="Marianne"/>
        </w:rPr>
      </w:pPr>
    </w:p>
    <w:p w14:paraId="0A5ACE62" w14:textId="77777777" w:rsidR="001E01AF" w:rsidRDefault="00AF646F">
      <w:pPr>
        <w:pStyle w:val="Paragraphedeliste"/>
        <w:numPr>
          <w:ilvl w:val="0"/>
          <w:numId w:val="3"/>
        </w:numPr>
        <w:jc w:val="both"/>
        <w:rPr>
          <w:rFonts w:cs="Marianne"/>
        </w:rPr>
      </w:pPr>
      <w:r>
        <w:rPr>
          <w:rFonts w:cs="Marianne"/>
        </w:rPr>
        <w:t>Sa densité de population est inférieure ou égale à la densité médiane nationale des bassins de vie de France métropolitaine</w:t>
      </w:r>
      <w:r>
        <w:rPr>
          <w:rFonts w:ascii="Calibri" w:hAnsi="Calibri" w:cs="Calibri"/>
        </w:rPr>
        <w:t> </w:t>
      </w:r>
      <w:r>
        <w:rPr>
          <w:rFonts w:cs="Calibri"/>
        </w:rPr>
        <w:t>(70,84 hab/km²)</w:t>
      </w:r>
      <w:r>
        <w:rPr>
          <w:rFonts w:ascii="Calibri" w:hAnsi="Calibri" w:cs="Calibri"/>
        </w:rPr>
        <w:t xml:space="preserve"> </w:t>
      </w:r>
      <w:r>
        <w:rPr>
          <w:rFonts w:cs="Marianne"/>
        </w:rPr>
        <w:t>;</w:t>
      </w:r>
    </w:p>
    <w:p w14:paraId="58AC4E81" w14:textId="77777777" w:rsidR="001E01AF" w:rsidRDefault="00AF646F">
      <w:pPr>
        <w:pStyle w:val="Paragraphedeliste"/>
        <w:tabs>
          <w:tab w:val="left" w:pos="5785"/>
        </w:tabs>
        <w:jc w:val="both"/>
        <w:rPr>
          <w:rFonts w:cs="Marianne"/>
        </w:rPr>
      </w:pPr>
      <w:r>
        <w:rPr>
          <w:rFonts w:cs="Marianne"/>
        </w:rPr>
        <w:tab/>
      </w:r>
    </w:p>
    <w:p w14:paraId="654CA0F3" w14:textId="77777777" w:rsidR="001E01AF" w:rsidRDefault="00AF646F">
      <w:pPr>
        <w:pStyle w:val="Paragraphedeliste"/>
        <w:numPr>
          <w:ilvl w:val="0"/>
          <w:numId w:val="3"/>
        </w:numPr>
        <w:jc w:val="both"/>
        <w:rPr>
          <w:rFonts w:cs="Marianne"/>
        </w:rPr>
      </w:pPr>
      <w:r>
        <w:rPr>
          <w:rFonts w:cs="Marianne"/>
        </w:rPr>
        <w:t xml:space="preserve">Son revenu disponible médian par unité de consommation est inférieur ou égal à la médiane des revenus médians des bassins de vie de France métropolitaine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600 €)</w:t>
      </w:r>
      <w:r>
        <w:rPr>
          <w:rFonts w:cs="Marianne"/>
        </w:rPr>
        <w:t>.</w:t>
      </w:r>
    </w:p>
    <w:p w14:paraId="47C76E4E" w14:textId="77777777" w:rsidR="001E01AF" w:rsidRDefault="00AF646F">
      <w:pPr>
        <w:jc w:val="both"/>
        <w:rPr>
          <w:rFonts w:cs="Marianne"/>
        </w:rPr>
      </w:pPr>
      <w:r>
        <w:rPr>
          <w:rFonts w:cs="Marianne"/>
          <w:u w:val="single"/>
        </w:rPr>
        <w:lastRenderedPageBreak/>
        <w:t>A noter</w:t>
      </w:r>
      <w:r>
        <w:rPr>
          <w:rFonts w:ascii="Calibri" w:hAnsi="Calibri" w:cs="Calibri"/>
          <w:u w:val="single"/>
        </w:rPr>
        <w:t> </w:t>
      </w:r>
      <w:r>
        <w:rPr>
          <w:rFonts w:cs="Marianne"/>
          <w:u w:val="single"/>
        </w:rPr>
        <w:t>:</w:t>
      </w:r>
      <w:r>
        <w:rPr>
          <w:rFonts w:cs="Marianne"/>
        </w:rPr>
        <w:t xml:space="preserve"> le classement des communes à l’échelle du bassin de vie a été effectué à titre complémentaire, sur proposition des préfets de région, lorsque l’intérêt général l’a justifié.</w:t>
      </w:r>
    </w:p>
    <w:p w14:paraId="48DF92FB" w14:textId="77777777" w:rsidR="001E01AF" w:rsidRDefault="00AF646F">
      <w:pPr>
        <w:pStyle w:val="Paragraphedeliste"/>
        <w:numPr>
          <w:ilvl w:val="2"/>
          <w:numId w:val="12"/>
        </w:numPr>
        <w:rPr>
          <w:rFonts w:cs="Marianne"/>
          <w:u w:val="single"/>
        </w:rPr>
      </w:pPr>
      <w:r>
        <w:rPr>
          <w:rFonts w:cs="Marianne"/>
          <w:u w:val="single"/>
        </w:rPr>
        <w:t>Dans un département remplissant les conditions suivantes</w:t>
      </w:r>
      <w:r>
        <w:rPr>
          <w:rFonts w:ascii="Calibri" w:hAnsi="Calibri" w:cs="Calibri"/>
          <w:u w:val="single"/>
        </w:rPr>
        <w:t> </w:t>
      </w:r>
      <w:r>
        <w:rPr>
          <w:rFonts w:cs="Marianne"/>
          <w:u w:val="single"/>
        </w:rPr>
        <w:t>:</w:t>
      </w:r>
    </w:p>
    <w:p w14:paraId="44168F8F" w14:textId="77777777" w:rsidR="001E01AF" w:rsidRDefault="001E01AF">
      <w:pPr>
        <w:pStyle w:val="Paragraphedeliste"/>
        <w:ind w:left="1080"/>
        <w:rPr>
          <w:rFonts w:cs="Marianne"/>
        </w:rPr>
      </w:pPr>
    </w:p>
    <w:p w14:paraId="308E3BC3" w14:textId="77777777" w:rsidR="001E01AF" w:rsidRDefault="00AF646F">
      <w:pPr>
        <w:pStyle w:val="Paragraphedeliste"/>
        <w:numPr>
          <w:ilvl w:val="0"/>
          <w:numId w:val="3"/>
        </w:numPr>
        <w:jc w:val="both"/>
        <w:rPr>
          <w:rFonts w:cs="Marianne"/>
        </w:rPr>
      </w:pPr>
      <w:r>
        <w:rPr>
          <w:rFonts w:cs="Marianne"/>
        </w:rPr>
        <w:t>Sa densité de population est inférieure à 35 habitants par kilomètre carré</w:t>
      </w:r>
      <w:r>
        <w:rPr>
          <w:rFonts w:ascii="Calibri" w:hAnsi="Calibri" w:cs="Calibri"/>
        </w:rPr>
        <w:t> </w:t>
      </w:r>
      <w:r>
        <w:rPr>
          <w:rFonts w:cs="Marianne"/>
        </w:rPr>
        <w:t>;</w:t>
      </w:r>
    </w:p>
    <w:p w14:paraId="5B97875F" w14:textId="77777777" w:rsidR="001E01AF" w:rsidRDefault="001E01AF">
      <w:pPr>
        <w:pStyle w:val="Paragraphedeliste"/>
        <w:jc w:val="both"/>
        <w:rPr>
          <w:rFonts w:cs="Marianne"/>
        </w:rPr>
      </w:pPr>
    </w:p>
    <w:p w14:paraId="5F31380D" w14:textId="77777777" w:rsidR="001E01AF" w:rsidRDefault="00AF646F">
      <w:pPr>
        <w:pStyle w:val="Paragraphedeliste"/>
        <w:numPr>
          <w:ilvl w:val="0"/>
          <w:numId w:val="3"/>
        </w:numPr>
        <w:jc w:val="both"/>
        <w:rPr>
          <w:rFonts w:cs="Marianne"/>
        </w:rPr>
      </w:pPr>
      <w:r>
        <w:rPr>
          <w:rFonts w:cs="Marianne"/>
        </w:rPr>
        <w:t xml:space="preserve">Son revenu disponible médian par unité de consommation est inférieur ou égal à la médiane des revenus médians disponibles par unité de consommation par département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665 €)</w:t>
      </w:r>
      <w:r>
        <w:rPr>
          <w:rFonts w:cs="Marianne"/>
        </w:rPr>
        <w:t>.</w:t>
      </w:r>
    </w:p>
    <w:p w14:paraId="7E40442E" w14:textId="2960FD23" w:rsidR="001E01AF" w:rsidRDefault="00AF646F">
      <w:pPr>
        <w:jc w:val="both"/>
        <w:rPr>
          <w:rFonts w:eastAsia="Times New Roman" w:cs="Times New Roman"/>
          <w:lang w:eastAsia="fr-FR"/>
        </w:rPr>
      </w:pPr>
      <w:r>
        <w:rPr>
          <w:rFonts w:cs="Marianne"/>
        </w:rPr>
        <w:t>Ainsi, toutes les communes de moins de 30</w:t>
      </w:r>
      <w:r>
        <w:rPr>
          <w:rFonts w:ascii="Calibri" w:hAnsi="Calibri" w:cs="Calibri"/>
        </w:rPr>
        <w:t> </w:t>
      </w:r>
      <w:r>
        <w:rPr>
          <w:rFonts w:cs="Marianne"/>
        </w:rPr>
        <w:t>000 habitants des 13 départements suivants sont zonées</w:t>
      </w:r>
      <w:r>
        <w:rPr>
          <w:rFonts w:ascii="Calibri" w:hAnsi="Calibri" w:cs="Calibri"/>
        </w:rPr>
        <w:t> </w:t>
      </w:r>
      <w:r>
        <w:rPr>
          <w:rFonts w:cs="Marianne"/>
        </w:rPr>
        <w:t>:</w:t>
      </w:r>
      <w:r>
        <w:rPr>
          <w:rFonts w:eastAsia="Times New Roman" w:cs="Times New Roman"/>
          <w:lang w:eastAsia="fr-FR"/>
        </w:rPr>
        <w:t xml:space="preserve"> les Alpes-de-Haute-Provence, les Hautes-Alpes, l’Ariège, l’Aveyron, le Cantal, la Creuse, le Gers, l’Indre, le Lot</w:t>
      </w:r>
      <w:r>
        <w:rPr>
          <w:rFonts w:cs="Marianne"/>
        </w:rPr>
        <w:t xml:space="preserve">, </w:t>
      </w:r>
      <w:r>
        <w:rPr>
          <w:rFonts w:eastAsia="Times New Roman" w:cs="Times New Roman"/>
          <w:lang w:eastAsia="fr-FR"/>
        </w:rPr>
        <w:t>la Lozère, la Haute-Marne, la Meuse et la Nièvre.</w:t>
      </w:r>
    </w:p>
    <w:p w14:paraId="08DBF7D1" w14:textId="77777777" w:rsidR="00C24C8C" w:rsidRDefault="00C24C8C">
      <w:pPr>
        <w:jc w:val="both"/>
        <w:rPr>
          <w:rFonts w:eastAsia="Times New Roman" w:cs="Times New Roman"/>
          <w:lang w:eastAsia="fr-FR"/>
        </w:rPr>
      </w:pPr>
    </w:p>
    <w:p w14:paraId="0284836A" w14:textId="77777777" w:rsidR="001E01AF" w:rsidRDefault="00AF646F">
      <w:pPr>
        <w:jc w:val="both"/>
        <w:rPr>
          <w:rFonts w:cs="Marianne"/>
          <w:b/>
          <w:i/>
          <w:u w:val="single"/>
        </w:rPr>
      </w:pPr>
      <w:r>
        <w:rPr>
          <w:rFonts w:cs="Marianne"/>
          <w:b/>
          <w:i/>
          <w:u w:val="single"/>
        </w:rPr>
        <w:t>Qu’en est-il des Outre-Mer</w:t>
      </w:r>
      <w:r>
        <w:rPr>
          <w:rFonts w:ascii="Calibri" w:hAnsi="Calibri" w:cs="Calibri"/>
          <w:b/>
          <w:i/>
          <w:u w:val="single"/>
        </w:rPr>
        <w:t> </w:t>
      </w:r>
      <w:r>
        <w:rPr>
          <w:rFonts w:cs="Marianne"/>
          <w:b/>
          <w:i/>
          <w:u w:val="single"/>
        </w:rPr>
        <w:t xml:space="preserve">? </w:t>
      </w:r>
    </w:p>
    <w:p w14:paraId="30B21FCC" w14:textId="77777777" w:rsidR="001E01AF" w:rsidRDefault="00AF646F">
      <w:pPr>
        <w:jc w:val="both"/>
        <w:rPr>
          <w:rFonts w:eastAsia="Times New Roman" w:cs="Times New Roman"/>
          <w:lang w:eastAsia="fr-FR"/>
        </w:rPr>
      </w:pPr>
      <w:r>
        <w:rPr>
          <w:rFonts w:eastAsia="Times New Roman" w:cs="Times New Roman"/>
          <w:lang w:eastAsia="fr-FR"/>
        </w:rPr>
        <w:t xml:space="preserve">Sont classées en zone France ruralités revitalisation les communes de Guyane ainsi que celles de La Réunion comprises dans la zone spéciale d’action rurale délimitée par le décret </w:t>
      </w:r>
      <w:r>
        <w:t>n° 78-690 du 23 juin 1978 portant création d’une zone spéciale d’action rurale dans le département de la Réunion</w:t>
      </w:r>
      <w:r>
        <w:rPr>
          <w:rFonts w:eastAsia="Times New Roman" w:cs="Times New Roman"/>
          <w:lang w:eastAsia="fr-FR"/>
        </w:rPr>
        <w:t>.</w:t>
      </w:r>
    </w:p>
    <w:p w14:paraId="631D6FC1" w14:textId="06373046" w:rsidR="00B01E66" w:rsidRDefault="00AF646F">
      <w:pPr>
        <w:jc w:val="both"/>
        <w:rPr>
          <w:rFonts w:eastAsia="Times New Roman" w:cs="Times New Roman"/>
          <w:lang w:eastAsia="fr-FR"/>
        </w:rPr>
      </w:pPr>
      <w:r>
        <w:rPr>
          <w:rFonts w:eastAsia="Times New Roman" w:cs="Times New Roman"/>
          <w:lang w:eastAsia="fr-FR"/>
        </w:rPr>
        <w:t>Ces territoires peuvent bénéficier des mesures non fiscales adossées au zonage (mesures sociales et autres mesures adossées).</w:t>
      </w:r>
    </w:p>
    <w:p w14:paraId="0E439765" w14:textId="77777777" w:rsidR="00AF00DF" w:rsidRDefault="00AF00DF">
      <w:pPr>
        <w:jc w:val="both"/>
        <w:rPr>
          <w:rFonts w:eastAsia="Times New Roman" w:cs="Times New Roman"/>
          <w:lang w:eastAsia="fr-FR"/>
        </w:rPr>
      </w:pPr>
    </w:p>
    <w:p w14:paraId="7F4157EB" w14:textId="77777777" w:rsidR="001E01AF" w:rsidRDefault="00AF646F">
      <w:pPr>
        <w:jc w:val="both"/>
        <w:rPr>
          <w:rFonts w:cs="Marianne"/>
          <w:b/>
          <w:i/>
          <w:u w:val="single"/>
        </w:rPr>
      </w:pPr>
      <w:r>
        <w:rPr>
          <w:rFonts w:cs="Marianne"/>
          <w:b/>
          <w:i/>
          <w:u w:val="single"/>
        </w:rPr>
        <w:t>Quelles sont les modalités et la date d’entrée en vigueur des mesures de zonage adoptées en loi de finances pour 2024</w:t>
      </w:r>
      <w:r>
        <w:rPr>
          <w:rFonts w:ascii="Calibri" w:hAnsi="Calibri" w:cs="Calibri"/>
          <w:b/>
          <w:i/>
          <w:u w:val="single"/>
        </w:rPr>
        <w:t> </w:t>
      </w:r>
      <w:r>
        <w:rPr>
          <w:rFonts w:cs="Marianne"/>
          <w:b/>
          <w:i/>
          <w:u w:val="single"/>
        </w:rPr>
        <w:t>?</w:t>
      </w:r>
    </w:p>
    <w:p w14:paraId="08D6D905" w14:textId="77777777" w:rsidR="001E01AF" w:rsidRDefault="00AF646F">
      <w:pPr>
        <w:jc w:val="both"/>
      </w:pPr>
      <w:r>
        <w:rPr>
          <w:rFonts w:cs="Arial"/>
          <w:color w:val="000000"/>
        </w:rPr>
        <w:t>Le classement des communes en FRR, en application des critères prévus en loi de finances pour 2024, est établi par l’arrêté du 19 juin 2024</w:t>
      </w:r>
      <w:r>
        <w:rPr>
          <w:rStyle w:val="Ancredenotedebasdepage"/>
          <w:rFonts w:cs="Arial"/>
          <w:color w:val="000000"/>
        </w:rPr>
        <w:footnoteReference w:id="3"/>
      </w:r>
      <w:r>
        <w:t xml:space="preserve">. </w:t>
      </w:r>
    </w:p>
    <w:p w14:paraId="792101EF" w14:textId="37700C3D" w:rsidR="00C24C8C" w:rsidRDefault="00AF646F">
      <w:pPr>
        <w:jc w:val="both"/>
        <w:rPr>
          <w:rFonts w:cs="Arial"/>
          <w:color w:val="000000"/>
        </w:rPr>
      </w:pPr>
      <w:r>
        <w:t xml:space="preserve">Signé par </w:t>
      </w:r>
      <w:r>
        <w:rPr>
          <w:rFonts w:cs="Arial"/>
          <w:color w:val="000000"/>
        </w:rPr>
        <w:t>les ministres chargés des collectivités territoriales et du budget, cet arrêté est entré en vigueur au 1</w:t>
      </w:r>
      <w:r>
        <w:rPr>
          <w:rFonts w:cs="Arial"/>
          <w:color w:val="000000"/>
          <w:vertAlign w:val="superscript"/>
        </w:rPr>
        <w:t>er</w:t>
      </w:r>
      <w:r>
        <w:rPr>
          <w:rFonts w:cs="Arial"/>
          <w:color w:val="000000"/>
        </w:rPr>
        <w:t xml:space="preserve"> juillet 2024, conformément à la loi de finances pour 2024, et concerne 17</w:t>
      </w:r>
      <w:r>
        <w:rPr>
          <w:rFonts w:ascii="Calibri" w:hAnsi="Calibri" w:cs="Calibri"/>
          <w:color w:val="000000"/>
        </w:rPr>
        <w:t> </w:t>
      </w:r>
      <w:r>
        <w:rPr>
          <w:rFonts w:cs="Arial"/>
          <w:color w:val="000000"/>
        </w:rPr>
        <w:t xml:space="preserve">717 communes. </w:t>
      </w:r>
    </w:p>
    <w:p w14:paraId="60925C78" w14:textId="04F5A67F" w:rsidR="00C603FC" w:rsidRDefault="00C603FC">
      <w:pPr>
        <w:jc w:val="both"/>
        <w:rPr>
          <w:rFonts w:cs="Arial"/>
          <w:color w:val="000000"/>
        </w:rPr>
      </w:pPr>
    </w:p>
    <w:p w14:paraId="5F010DBB" w14:textId="05D1EA5B" w:rsidR="00C603FC" w:rsidRDefault="00C603FC">
      <w:pPr>
        <w:jc w:val="both"/>
        <w:rPr>
          <w:rFonts w:cs="Arial"/>
          <w:color w:val="000000"/>
        </w:rPr>
      </w:pPr>
    </w:p>
    <w:p w14:paraId="61184EF1" w14:textId="77777777" w:rsidR="00C603FC" w:rsidRPr="00AF00DF" w:rsidRDefault="00C603FC">
      <w:pPr>
        <w:jc w:val="both"/>
        <w:rPr>
          <w:rFonts w:cs="Arial"/>
          <w:color w:val="000000"/>
        </w:rPr>
      </w:pPr>
    </w:p>
    <w:p w14:paraId="53F48BCD" w14:textId="21276E17" w:rsidR="001E01AF" w:rsidRPr="00CA5217" w:rsidRDefault="006A4DAF">
      <w:pPr>
        <w:pStyle w:val="Paragraphedeliste"/>
        <w:numPr>
          <w:ilvl w:val="0"/>
          <w:numId w:val="25"/>
        </w:numPr>
        <w:jc w:val="both"/>
        <w:rPr>
          <w:rFonts w:eastAsia="Times New Roman" w:cs="Times New Roman"/>
          <w:b/>
          <w:i/>
          <w:vanish/>
          <w:lang w:eastAsia="fr-FR"/>
        </w:rPr>
      </w:pPr>
      <w:r w:rsidRPr="00CA5217">
        <w:rPr>
          <w:rFonts w:cs="Arial"/>
          <w:noProof/>
          <w:lang w:eastAsia="fr-FR"/>
        </w:rPr>
        <w:lastRenderedPageBreak/>
        <mc:AlternateContent>
          <mc:Choice Requires="wps">
            <w:drawing>
              <wp:anchor distT="0" distB="0" distL="114300" distR="114300" simplePos="0" relativeHeight="251661312" behindDoc="0" locked="0" layoutInCell="1" allowOverlap="1" wp14:anchorId="6FE54798" wp14:editId="4A8D9532">
                <wp:simplePos x="0" y="0"/>
                <wp:positionH relativeFrom="column">
                  <wp:posOffset>-808990</wp:posOffset>
                </wp:positionH>
                <wp:positionV relativeFrom="paragraph">
                  <wp:posOffset>118482</wp:posOffset>
                </wp:positionV>
                <wp:extent cx="809296" cy="294289"/>
                <wp:effectExtent l="0" t="0" r="10160" b="10795"/>
                <wp:wrapNone/>
                <wp:docPr id="7" name="Rectangle à coins arrondis 7"/>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A697D" w14:textId="77777777" w:rsidR="006A4DAF" w:rsidRPr="00774AB8" w:rsidRDefault="006A4DAF" w:rsidP="006A4DAF">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54798" id="Rectangle à coins arrondis 7" o:spid="_x0000_s1028" style="position:absolute;left:0;text-align:left;margin-left:-63.7pt;margin-top:9.35pt;width:63.7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" fillcolor="#b4c6e7 [1304]" strokecolor="black [3213]" strokeweight="1pt">
                <v:stroke joinstyle="miter"/>
                <v:textbox>
                  <w:txbxContent>
                    <w:p w14:paraId="27AA697D" w14:textId="77777777" w:rsidR="006A4DAF" w:rsidRPr="00774AB8" w:rsidRDefault="006A4DAF" w:rsidP="006A4DAF">
                      <w:pPr>
                        <w:jc w:val="center"/>
                        <w:rPr>
                          <w:b/>
                        </w:rPr>
                      </w:pPr>
                      <w:r w:rsidRPr="00774AB8">
                        <w:rPr>
                          <w:b/>
                          <w:sz w:val="20"/>
                        </w:rPr>
                        <w:t>Nouve</w:t>
                      </w:r>
                      <w:r w:rsidRPr="00774AB8">
                        <w:rPr>
                          <w:b/>
                        </w:rPr>
                        <w:t>au</w:t>
                      </w:r>
                    </w:p>
                  </w:txbxContent>
                </v:textbox>
              </v:roundrect>
            </w:pict>
          </mc:Fallback>
        </mc:AlternateContent>
      </w:r>
    </w:p>
    <w:p w14:paraId="67A407A5" w14:textId="77777777" w:rsidR="001E01AF" w:rsidRPr="00CA5217" w:rsidRDefault="001E01AF">
      <w:pPr>
        <w:pStyle w:val="Paragraphedeliste"/>
        <w:numPr>
          <w:ilvl w:val="0"/>
          <w:numId w:val="25"/>
        </w:numPr>
        <w:jc w:val="both"/>
        <w:rPr>
          <w:rFonts w:eastAsia="Times New Roman" w:cs="Times New Roman"/>
          <w:b/>
          <w:i/>
          <w:vanish/>
          <w:lang w:eastAsia="fr-FR"/>
        </w:rPr>
      </w:pPr>
    </w:p>
    <w:p w14:paraId="1AC62C6C" w14:textId="77777777" w:rsidR="001E01AF" w:rsidRPr="00CA5217" w:rsidRDefault="001E01AF">
      <w:pPr>
        <w:pStyle w:val="Paragraphedeliste"/>
        <w:numPr>
          <w:ilvl w:val="0"/>
          <w:numId w:val="25"/>
        </w:numPr>
        <w:jc w:val="both"/>
        <w:rPr>
          <w:rFonts w:eastAsia="Times New Roman" w:cs="Times New Roman"/>
          <w:b/>
          <w:i/>
          <w:vanish/>
          <w:lang w:eastAsia="fr-FR"/>
        </w:rPr>
      </w:pPr>
    </w:p>
    <w:p w14:paraId="3FA2D8CB" w14:textId="77777777" w:rsidR="001E01AF" w:rsidRPr="00CA5217" w:rsidRDefault="001E01AF">
      <w:pPr>
        <w:pStyle w:val="Paragraphedeliste"/>
        <w:numPr>
          <w:ilvl w:val="1"/>
          <w:numId w:val="25"/>
        </w:numPr>
        <w:jc w:val="both"/>
        <w:rPr>
          <w:rFonts w:eastAsia="Times New Roman" w:cs="Times New Roman"/>
          <w:b/>
          <w:i/>
          <w:vanish/>
          <w:lang w:eastAsia="fr-FR"/>
        </w:rPr>
      </w:pPr>
    </w:p>
    <w:p w14:paraId="6563A801" w14:textId="77777777" w:rsidR="001E01AF" w:rsidRPr="00CA5217" w:rsidRDefault="00AF646F" w:rsidP="00AF6CE5">
      <w:pPr>
        <w:pStyle w:val="Titre3"/>
        <w:rPr>
          <w:i/>
          <w:color w:val="auto"/>
          <w:sz w:val="24"/>
          <w:u w:val="single"/>
          <w:lang w:eastAsia="fr-FR"/>
        </w:rPr>
      </w:pPr>
      <w:bookmarkStart w:id="33" w:name="_Toc192844110"/>
      <w:bookmarkStart w:id="34" w:name="_Toc192849383"/>
      <w:r w:rsidRPr="00CA5217">
        <w:rPr>
          <w:i/>
          <w:color w:val="auto"/>
          <w:sz w:val="24"/>
          <w:u w:val="single"/>
          <w:lang w:eastAsia="fr-FR"/>
        </w:rPr>
        <w:t>Mesures d’ajustement adoptées en loi de finances pour 2025</w:t>
      </w:r>
      <w:bookmarkEnd w:id="33"/>
      <w:bookmarkEnd w:id="34"/>
    </w:p>
    <w:p w14:paraId="64E3DBFD" w14:textId="5B5D30D6" w:rsidR="00AF6CE5" w:rsidRPr="00CA5217" w:rsidRDefault="00AF6CE5">
      <w:pPr>
        <w:jc w:val="both"/>
        <w:rPr>
          <w:rFonts w:eastAsia="Times New Roman" w:cs="Times New Roman"/>
          <w:lang w:eastAsia="fr-FR"/>
        </w:rPr>
      </w:pPr>
    </w:p>
    <w:p w14:paraId="3B311A69" w14:textId="1FDC2FA7" w:rsidR="001E01AF" w:rsidRPr="00CA5217" w:rsidRDefault="00AF646F">
      <w:pPr>
        <w:jc w:val="both"/>
        <w:rPr>
          <w:rFonts w:eastAsia="Times New Roman" w:cs="Marianne"/>
          <w:lang w:eastAsia="fr-FR"/>
        </w:rPr>
      </w:pPr>
      <w:r w:rsidRPr="00CA5217">
        <w:rPr>
          <w:rFonts w:eastAsia="Times New Roman" w:cs="Times New Roman"/>
          <w:lang w:eastAsia="fr-FR"/>
        </w:rPr>
        <w:t xml:space="preserve">L’article 99 de la loi </w:t>
      </w:r>
      <w:r w:rsidR="00EE595A" w:rsidRPr="00CA5217">
        <w:rPr>
          <w:rFonts w:eastAsia="Times New Roman" w:cs="Times New Roman"/>
          <w:lang w:eastAsia="fr-FR"/>
        </w:rPr>
        <w:t xml:space="preserve">n°2025-127 </w:t>
      </w:r>
      <w:r w:rsidRPr="00CA5217">
        <w:rPr>
          <w:rFonts w:eastAsia="Times New Roman" w:cs="Times New Roman"/>
          <w:lang w:eastAsia="fr-FR"/>
        </w:rPr>
        <w:t>du 14 février 2025 de finances pour 2025 prévoit deux types de mesures</w:t>
      </w:r>
      <w:r w:rsidRPr="00CA5217">
        <w:rPr>
          <w:rFonts w:ascii="Calibri" w:eastAsia="Times New Roman" w:hAnsi="Calibri" w:cs="Calibri"/>
          <w:lang w:eastAsia="fr-FR"/>
        </w:rPr>
        <w:t> </w:t>
      </w:r>
      <w:r w:rsidRPr="00CA5217">
        <w:rPr>
          <w:rFonts w:eastAsia="Times New Roman" w:cs="Times New Roman"/>
          <w:lang w:eastAsia="fr-FR"/>
        </w:rPr>
        <w:t>: des modalités complémentaires de classement en FRR «</w:t>
      </w:r>
      <w:r w:rsidRPr="00CA5217">
        <w:rPr>
          <w:rFonts w:ascii="Calibri" w:eastAsia="Times New Roman" w:hAnsi="Calibri" w:cs="Calibri"/>
          <w:lang w:eastAsia="fr-FR"/>
        </w:rPr>
        <w:t> </w:t>
      </w:r>
      <w:r w:rsidRPr="00CA5217">
        <w:rPr>
          <w:rFonts w:eastAsia="Times New Roman" w:cs="Times New Roman"/>
          <w:lang w:eastAsia="fr-FR"/>
        </w:rPr>
        <w:t>socle</w:t>
      </w:r>
      <w:r w:rsidRPr="00CA5217">
        <w:rPr>
          <w:rFonts w:ascii="Calibri" w:eastAsia="Times New Roman" w:hAnsi="Calibri" w:cs="Calibri"/>
          <w:lang w:eastAsia="fr-FR"/>
        </w:rPr>
        <w:t> </w:t>
      </w:r>
      <w:r w:rsidRPr="00CA5217">
        <w:rPr>
          <w:rFonts w:eastAsia="Times New Roman" w:cs="Marianne"/>
          <w:lang w:eastAsia="fr-FR"/>
        </w:rPr>
        <w:t xml:space="preserve">» </w:t>
      </w:r>
      <w:r w:rsidRPr="00CA5217">
        <w:rPr>
          <w:rFonts w:eastAsia="Times New Roman" w:cs="Marianne"/>
          <w:b/>
          <w:i/>
          <w:lang w:eastAsia="fr-FR"/>
        </w:rPr>
        <w:t>(a)</w:t>
      </w:r>
      <w:r w:rsidRPr="00CA5217">
        <w:rPr>
          <w:rFonts w:eastAsia="Times New Roman" w:cs="Marianne"/>
          <w:lang w:eastAsia="fr-FR"/>
        </w:rPr>
        <w:t xml:space="preserve"> et une prise en compte des communes FRR «</w:t>
      </w:r>
      <w:r w:rsidRPr="00CA5217">
        <w:rPr>
          <w:rFonts w:ascii="Calibri" w:eastAsia="Times New Roman" w:hAnsi="Calibri" w:cs="Calibri"/>
          <w:lang w:eastAsia="fr-FR"/>
        </w:rPr>
        <w:t> </w:t>
      </w:r>
      <w:r w:rsidRPr="00CA5217">
        <w:rPr>
          <w:rFonts w:eastAsia="Times New Roman" w:cs="Marianne"/>
          <w:lang w:eastAsia="fr-FR"/>
        </w:rPr>
        <w:t>bénéficiaires</w:t>
      </w:r>
      <w:r w:rsidRPr="00CA5217">
        <w:rPr>
          <w:rFonts w:ascii="Calibri" w:eastAsia="Times New Roman" w:hAnsi="Calibri" w:cs="Calibri"/>
          <w:lang w:eastAsia="fr-FR"/>
        </w:rPr>
        <w:t> </w:t>
      </w:r>
      <w:r w:rsidRPr="00CA5217">
        <w:rPr>
          <w:rFonts w:eastAsia="Times New Roman" w:cs="Marianne"/>
          <w:lang w:eastAsia="fr-FR"/>
        </w:rPr>
        <w:t xml:space="preserve">» </w:t>
      </w:r>
      <w:r w:rsidRPr="00CA5217">
        <w:rPr>
          <w:rFonts w:eastAsia="Times New Roman" w:cs="Marianne"/>
          <w:b/>
          <w:i/>
          <w:lang w:eastAsia="fr-FR"/>
        </w:rPr>
        <w:t>(b)</w:t>
      </w:r>
      <w:r w:rsidRPr="00CA5217">
        <w:rPr>
          <w:rFonts w:eastAsia="Times New Roman" w:cs="Marianne"/>
          <w:lang w:eastAsia="fr-FR"/>
        </w:rPr>
        <w:t>.</w:t>
      </w:r>
    </w:p>
    <w:p w14:paraId="65CF0522" w14:textId="77777777" w:rsidR="001E01AF" w:rsidRPr="00CA5217" w:rsidRDefault="00AF646F" w:rsidP="00FE2E82">
      <w:pPr>
        <w:pStyle w:val="Titre4"/>
        <w:numPr>
          <w:ilvl w:val="0"/>
          <w:numId w:val="41"/>
        </w:numPr>
        <w:rPr>
          <w:rFonts w:ascii="Marianne" w:hAnsi="Marianne"/>
          <w:b/>
          <w:u w:val="single"/>
          <w:lang w:eastAsia="fr-FR"/>
        </w:rPr>
      </w:pPr>
      <w:bookmarkStart w:id="35" w:name="_Toc192844111"/>
      <w:bookmarkStart w:id="36" w:name="_Toc192849384"/>
      <w:r w:rsidRPr="00CA5217">
        <w:rPr>
          <w:rFonts w:ascii="Marianne" w:hAnsi="Marianne"/>
          <w:b/>
          <w:color w:val="auto"/>
          <w:u w:val="single"/>
          <w:lang w:eastAsia="fr-FR"/>
        </w:rPr>
        <w:t>Les modalités complémentaires de classement en FRR «</w:t>
      </w:r>
      <w:r w:rsidRPr="00CA5217">
        <w:rPr>
          <w:rFonts w:ascii="Calibri" w:hAnsi="Calibri" w:cs="Calibri"/>
          <w:b/>
          <w:color w:val="auto"/>
          <w:u w:val="single"/>
          <w:lang w:eastAsia="fr-FR"/>
        </w:rPr>
        <w:t> </w:t>
      </w:r>
      <w:r w:rsidRPr="00CA5217">
        <w:rPr>
          <w:rFonts w:ascii="Marianne" w:hAnsi="Marianne"/>
          <w:b/>
          <w:color w:val="auto"/>
          <w:u w:val="single"/>
          <w:lang w:eastAsia="fr-FR"/>
        </w:rPr>
        <w:t>socle</w:t>
      </w:r>
      <w:r w:rsidRPr="00CA5217">
        <w:rPr>
          <w:rFonts w:ascii="Calibri" w:hAnsi="Calibri" w:cs="Calibri"/>
          <w:b/>
          <w:color w:val="auto"/>
          <w:u w:val="single"/>
          <w:lang w:eastAsia="fr-FR"/>
        </w:rPr>
        <w:t> </w:t>
      </w:r>
      <w:r w:rsidRPr="00CA5217">
        <w:rPr>
          <w:rFonts w:ascii="Marianne" w:hAnsi="Marianne" w:cs="Marianne"/>
          <w:b/>
          <w:color w:val="auto"/>
          <w:u w:val="single"/>
          <w:lang w:eastAsia="fr-FR"/>
        </w:rPr>
        <w:t>»</w:t>
      </w:r>
      <w:bookmarkEnd w:id="35"/>
      <w:bookmarkEnd w:id="36"/>
    </w:p>
    <w:p w14:paraId="5204E522" w14:textId="77777777" w:rsidR="001E01AF" w:rsidRPr="00CA5217" w:rsidRDefault="001E01AF">
      <w:pPr>
        <w:pStyle w:val="Paragraphedeliste"/>
        <w:jc w:val="both"/>
        <w:rPr>
          <w:rFonts w:eastAsia="Times New Roman" w:cs="Times New Roman"/>
          <w:lang w:eastAsia="fr-FR"/>
        </w:rPr>
      </w:pPr>
    </w:p>
    <w:p w14:paraId="20D725E4" w14:textId="77777777" w:rsidR="001E01AF" w:rsidRPr="00CA5217" w:rsidRDefault="00AF646F">
      <w:pPr>
        <w:pStyle w:val="Paragraphedeliste"/>
        <w:numPr>
          <w:ilvl w:val="0"/>
          <w:numId w:val="24"/>
        </w:numPr>
        <w:rPr>
          <w:rFonts w:cs="Marianne"/>
          <w:u w:val="single"/>
        </w:rPr>
      </w:pPr>
      <w:r w:rsidRPr="00CA5217">
        <w:rPr>
          <w:rFonts w:cs="Marianne"/>
          <w:u w:val="single"/>
        </w:rPr>
        <w:t>A l’échelle des communes nouvelles</w:t>
      </w:r>
    </w:p>
    <w:p w14:paraId="78D55BD0" w14:textId="77777777" w:rsidR="001E01AF" w:rsidRPr="00CA5217" w:rsidRDefault="00AF646F">
      <w:pPr>
        <w:jc w:val="both"/>
        <w:rPr>
          <w:rFonts w:cs="Marianne"/>
        </w:rPr>
      </w:pPr>
      <w:r w:rsidRPr="00CA5217">
        <w:rPr>
          <w:rFonts w:cs="Marianne"/>
        </w:rPr>
        <w:t xml:space="preserve">Afin de garantir une cohérence territoriale et d’encourager la création de communes nouvelles, l’article 99 de la loi de finances pour 2025 ajoute un F au II de l’article 44 </w:t>
      </w:r>
      <w:r w:rsidRPr="00CA5217">
        <w:rPr>
          <w:rFonts w:cs="Marianne"/>
          <w:i/>
        </w:rPr>
        <w:t>quindecies</w:t>
      </w:r>
      <w:r w:rsidRPr="00CA5217">
        <w:rPr>
          <w:rFonts w:cs="Marianne"/>
        </w:rPr>
        <w:t xml:space="preserve"> A du CGI.</w:t>
      </w:r>
    </w:p>
    <w:p w14:paraId="2C303F69" w14:textId="77777777" w:rsidR="001E01AF" w:rsidRPr="00CA5217" w:rsidRDefault="00AF646F">
      <w:pPr>
        <w:jc w:val="both"/>
        <w:rPr>
          <w:rFonts w:cs="Marianne"/>
        </w:rPr>
      </w:pPr>
      <w:r w:rsidRPr="00CA5217">
        <w:rPr>
          <w:rFonts w:cs="Marianne"/>
        </w:rPr>
        <w:t>Par principe, le classement FRR est applicable aux portions de territoire d’une commune nouvelle qui correspondent aux limites territoriales d'une ancienne commune classée en FRR.</w:t>
      </w:r>
    </w:p>
    <w:p w14:paraId="51FD7AEE" w14:textId="77777777" w:rsidR="001E01AF" w:rsidRPr="00CA5217" w:rsidRDefault="00AF646F">
      <w:pPr>
        <w:jc w:val="both"/>
        <w:rPr>
          <w:rFonts w:cs="Marianne"/>
        </w:rPr>
      </w:pPr>
      <w:r w:rsidRPr="00CA5217">
        <w:rPr>
          <w:rFonts w:cs="Marianne"/>
        </w:rPr>
        <w:t>Par dérogation, il est prévu de classer en FRR l’intégralité du territoire d’une commune nouvelle, de moins de 30</w:t>
      </w:r>
      <w:r w:rsidRPr="00CA5217">
        <w:rPr>
          <w:rFonts w:ascii="Calibri" w:hAnsi="Calibri" w:cs="Calibri"/>
        </w:rPr>
        <w:t> </w:t>
      </w:r>
      <w:r w:rsidRPr="00CA5217">
        <w:rPr>
          <w:rFonts w:cs="Marianne"/>
        </w:rPr>
        <w:t>000 habitants, créée à compter du 1</w:t>
      </w:r>
      <w:r w:rsidRPr="00CA5217">
        <w:rPr>
          <w:rFonts w:cs="Marianne"/>
          <w:vertAlign w:val="superscript"/>
        </w:rPr>
        <w:t>er</w:t>
      </w:r>
      <w:r w:rsidRPr="00CA5217">
        <w:rPr>
          <w:rFonts w:cs="Marianne"/>
        </w:rPr>
        <w:t xml:space="preserve"> janvier 2024, lorsqu’elle inclut dans ses limites territoriales au moins une ancienne commune classée en FRR et que les autres portions de son territoire sont considérées comme rurales, au sens de la grille de densité de l’INSEE. </w:t>
      </w:r>
    </w:p>
    <w:p w14:paraId="3B5557E4" w14:textId="77777777" w:rsidR="001E01AF" w:rsidRPr="00CA5217" w:rsidRDefault="00AF646F">
      <w:pPr>
        <w:pStyle w:val="Paragraphedeliste"/>
        <w:numPr>
          <w:ilvl w:val="0"/>
          <w:numId w:val="24"/>
        </w:numPr>
        <w:rPr>
          <w:rFonts w:cs="Marianne"/>
          <w:u w:val="single"/>
        </w:rPr>
      </w:pPr>
      <w:r w:rsidRPr="00CA5217">
        <w:rPr>
          <w:rFonts w:cs="Marianne"/>
          <w:u w:val="single"/>
        </w:rPr>
        <w:t>A l’échelle des EPCI-FP</w:t>
      </w:r>
    </w:p>
    <w:p w14:paraId="53207493" w14:textId="77777777" w:rsidR="00A71F72" w:rsidRPr="00CA5217" w:rsidRDefault="00AF646F" w:rsidP="00444DA4">
      <w:pPr>
        <w:rPr>
          <w:rFonts w:cs="Marianne"/>
        </w:rPr>
      </w:pPr>
      <w:r w:rsidRPr="00CA5217">
        <w:rPr>
          <w:rFonts w:cs="Marianne"/>
        </w:rPr>
        <w:t xml:space="preserve">L’article 99 de la loi de finances pour 2025 ajoute un G au II de l’article 44 </w:t>
      </w:r>
      <w:r w:rsidRPr="00CA5217">
        <w:rPr>
          <w:rFonts w:cs="Marianne"/>
          <w:i/>
        </w:rPr>
        <w:t>quindecies</w:t>
      </w:r>
      <w:r w:rsidRPr="00CA5217">
        <w:rPr>
          <w:rFonts w:cs="Marianne"/>
        </w:rPr>
        <w:t xml:space="preserve"> A du CGI.</w:t>
      </w:r>
    </w:p>
    <w:p w14:paraId="75C75806" w14:textId="6BA925EA" w:rsidR="001E01AF" w:rsidRPr="00CA5217" w:rsidRDefault="00AF646F" w:rsidP="00A71F72">
      <w:pPr>
        <w:jc w:val="both"/>
        <w:rPr>
          <w:rFonts w:cs="Marianne"/>
        </w:rPr>
      </w:pPr>
      <w:r w:rsidRPr="00CA5217">
        <w:rPr>
          <w:rFonts w:cs="Marianne"/>
        </w:rPr>
        <w:t xml:space="preserve">Sont classées en FRR les communes </w:t>
      </w:r>
      <w:r w:rsidRPr="00CA5217">
        <w:t>de France métropolitaine dont la population est inférieure à 30 000 habitants et qui sont membres d'un EPCI-FP remplissant les conditions suivantes</w:t>
      </w:r>
      <w:r w:rsidRPr="00CA5217">
        <w:rPr>
          <w:rFonts w:ascii="Calibri" w:hAnsi="Calibri" w:cs="Calibri"/>
        </w:rPr>
        <w:t> </w:t>
      </w:r>
      <w:r w:rsidRPr="00CA5217">
        <w:t>:</w:t>
      </w:r>
    </w:p>
    <w:p w14:paraId="7B88D1DE" w14:textId="77777777" w:rsidR="001E01AF" w:rsidRPr="00CA5217" w:rsidRDefault="00AF646F">
      <w:pPr>
        <w:pStyle w:val="Paragraphedeliste"/>
        <w:numPr>
          <w:ilvl w:val="0"/>
          <w:numId w:val="23"/>
        </w:numPr>
        <w:jc w:val="both"/>
        <w:rPr>
          <w:rFonts w:cs="Marianne"/>
        </w:rPr>
      </w:pPr>
      <w:r w:rsidRPr="00CA5217">
        <w:rPr>
          <w:rFonts w:cs="Marianne"/>
        </w:rPr>
        <w:t>Plus de 60 % de la population de l'établissement réside dans un espace rural, au sens de la grille communale de densité établie par l’INSEE, et moins de 50 % de la population de ses communes rurales réside dans une commune rurale appartenant à une aire d'attraction d'une ville de 50 000 habitants ou plus (définie par l’INSEE) ;</w:t>
      </w:r>
    </w:p>
    <w:p w14:paraId="4AE81CDF" w14:textId="77777777" w:rsidR="001E01AF" w:rsidRPr="00CA5217" w:rsidRDefault="001E01AF">
      <w:pPr>
        <w:pStyle w:val="Paragraphedeliste"/>
        <w:jc w:val="both"/>
        <w:rPr>
          <w:rFonts w:cs="Marianne"/>
          <w:u w:val="single"/>
        </w:rPr>
      </w:pPr>
    </w:p>
    <w:p w14:paraId="45A86E27" w14:textId="2B756CF0" w:rsidR="001E01AF" w:rsidRPr="00CA5217" w:rsidRDefault="00AF646F">
      <w:pPr>
        <w:pStyle w:val="Paragraphedeliste"/>
        <w:numPr>
          <w:ilvl w:val="0"/>
          <w:numId w:val="23"/>
        </w:numPr>
        <w:jc w:val="both"/>
        <w:rPr>
          <w:rFonts w:cs="Marianne"/>
          <w:color w:val="FF0000"/>
        </w:rPr>
      </w:pPr>
      <w:r w:rsidRPr="00CA5217">
        <w:rPr>
          <w:rFonts w:cs="Marianne"/>
        </w:rPr>
        <w:t>Son revenu disponible médian par unité de consommation est inférieur ou égal au 25</w:t>
      </w:r>
      <w:r w:rsidRPr="00CA5217">
        <w:rPr>
          <w:rFonts w:cs="Marianne"/>
          <w:vertAlign w:val="superscript"/>
        </w:rPr>
        <w:t>ème</w:t>
      </w:r>
      <w:r w:rsidRPr="00CA5217">
        <w:rPr>
          <w:rFonts w:cs="Marianne"/>
        </w:rPr>
        <w:t xml:space="preserve"> centile des revenus disponibles médians par EPCI-FP de France métropolitaine</w:t>
      </w:r>
      <w:r w:rsidR="00972441" w:rsidRPr="00CA5217">
        <w:rPr>
          <w:rFonts w:cs="Marianne"/>
        </w:rPr>
        <w:t xml:space="preserve"> (</w:t>
      </w:r>
      <w:r w:rsidR="0026479D" w:rsidRPr="00CA5217">
        <w:rPr>
          <w:rFonts w:cs="Marianne"/>
        </w:rPr>
        <w:t xml:space="preserve">soit </w:t>
      </w:r>
      <w:r w:rsidR="00972441" w:rsidRPr="00CA5217">
        <w:rPr>
          <w:rFonts w:cs="Marianne"/>
        </w:rPr>
        <w:t>20</w:t>
      </w:r>
      <w:r w:rsidR="00972441" w:rsidRPr="00CA5217">
        <w:rPr>
          <w:rFonts w:ascii="Calibri" w:hAnsi="Calibri" w:cs="Calibri"/>
        </w:rPr>
        <w:t> </w:t>
      </w:r>
      <w:r w:rsidR="00972441" w:rsidRPr="00CA5217">
        <w:rPr>
          <w:rFonts w:cs="Marianne"/>
        </w:rPr>
        <w:t>690 €)</w:t>
      </w:r>
      <w:r w:rsidRPr="00CA5217">
        <w:rPr>
          <w:rFonts w:cs="Marianne"/>
        </w:rPr>
        <w:t>.</w:t>
      </w:r>
    </w:p>
    <w:p w14:paraId="52E10FF3" w14:textId="30246A7B" w:rsidR="00050F38" w:rsidRPr="00CA5217" w:rsidRDefault="00050F38" w:rsidP="00050F38">
      <w:pPr>
        <w:pStyle w:val="Paragraphedeliste"/>
        <w:jc w:val="both"/>
        <w:rPr>
          <w:rFonts w:cs="Marianne"/>
        </w:rPr>
      </w:pPr>
    </w:p>
    <w:p w14:paraId="0015AB95" w14:textId="6F7312D6" w:rsidR="00050F38" w:rsidRPr="00CA5217" w:rsidRDefault="00050F38" w:rsidP="00050F38">
      <w:pPr>
        <w:pStyle w:val="Paragraphedeliste"/>
        <w:jc w:val="both"/>
        <w:rPr>
          <w:rFonts w:cs="Marianne"/>
        </w:rPr>
      </w:pPr>
    </w:p>
    <w:p w14:paraId="2CA69E7E" w14:textId="01C80B18" w:rsidR="00050F38" w:rsidRPr="00CA5217" w:rsidRDefault="00050F38" w:rsidP="00050F38">
      <w:pPr>
        <w:pStyle w:val="Paragraphedeliste"/>
        <w:jc w:val="both"/>
        <w:rPr>
          <w:rFonts w:cs="Marianne"/>
        </w:rPr>
      </w:pPr>
    </w:p>
    <w:p w14:paraId="725E4F17" w14:textId="77777777" w:rsidR="00050F38" w:rsidRPr="00CA5217" w:rsidRDefault="00050F38" w:rsidP="00050F38">
      <w:pPr>
        <w:pStyle w:val="Paragraphedeliste"/>
        <w:jc w:val="both"/>
        <w:rPr>
          <w:rFonts w:cs="Marianne"/>
          <w:color w:val="FF0000"/>
        </w:rPr>
      </w:pPr>
    </w:p>
    <w:p w14:paraId="552535F9" w14:textId="77777777" w:rsidR="001E01AF" w:rsidRPr="00CA5217" w:rsidRDefault="00AF646F">
      <w:pPr>
        <w:pStyle w:val="Paragraphedeliste"/>
        <w:numPr>
          <w:ilvl w:val="0"/>
          <w:numId w:val="24"/>
        </w:numPr>
        <w:rPr>
          <w:rFonts w:cs="Marianne"/>
          <w:u w:val="single"/>
        </w:rPr>
      </w:pPr>
      <w:r w:rsidRPr="00CA5217">
        <w:rPr>
          <w:rFonts w:cs="Marianne"/>
          <w:u w:val="single"/>
        </w:rPr>
        <w:lastRenderedPageBreak/>
        <w:t>A l’échelle départementale</w:t>
      </w:r>
    </w:p>
    <w:p w14:paraId="0F947890" w14:textId="140AD5D3" w:rsidR="001E01AF" w:rsidRPr="00CA5217" w:rsidRDefault="00AF646F">
      <w:pPr>
        <w:jc w:val="both"/>
        <w:rPr>
          <w:rFonts w:cs="Marianne"/>
        </w:rPr>
      </w:pPr>
      <w:r w:rsidRPr="00CA5217">
        <w:rPr>
          <w:rFonts w:cs="Marianne"/>
        </w:rPr>
        <w:t xml:space="preserve">L’article 99 de la loi de finances pour 2025 a </w:t>
      </w:r>
      <w:r w:rsidR="00DE43B3" w:rsidRPr="00CA5217">
        <w:rPr>
          <w:rFonts w:cs="Marianne"/>
        </w:rPr>
        <w:t>ajouté un dernier alinéa au</w:t>
      </w:r>
      <w:r w:rsidRPr="00CA5217">
        <w:rPr>
          <w:rFonts w:cs="Marianne"/>
        </w:rPr>
        <w:t xml:space="preserve"> C du II de l’article 44 </w:t>
      </w:r>
      <w:r w:rsidRPr="00CA5217">
        <w:rPr>
          <w:rFonts w:cs="Marianne"/>
          <w:i/>
        </w:rPr>
        <w:t xml:space="preserve">quindecies </w:t>
      </w:r>
      <w:r w:rsidRPr="00CA5217">
        <w:rPr>
          <w:rFonts w:cs="Marianne"/>
        </w:rPr>
        <w:t>A du CGI.</w:t>
      </w:r>
    </w:p>
    <w:p w14:paraId="4DE1DD64" w14:textId="77777777" w:rsidR="001E01AF" w:rsidRPr="00CA5217" w:rsidRDefault="00AF646F">
      <w:pPr>
        <w:jc w:val="both"/>
        <w:rPr>
          <w:rFonts w:eastAsia="Times New Roman" w:cs="Times New Roman"/>
          <w:lang w:eastAsia="fr-FR"/>
        </w:rPr>
      </w:pPr>
      <w:r w:rsidRPr="00CA5217">
        <w:rPr>
          <w:rFonts w:cs="Marianne"/>
        </w:rPr>
        <w:t>Il prévoit le classement des communes de France métropolitaine dont la population est inférieure à 30 000 habitants et qui sont membres d'un EPCI-FP dont au moins la moitié des communes est située dans un département remplissant les critères de densité de population (inférieure à 35 hab/km</w:t>
      </w:r>
      <w:r w:rsidRPr="00CA5217">
        <w:rPr>
          <w:rFonts w:cs="Marianne"/>
          <w:vertAlign w:val="superscript"/>
        </w:rPr>
        <w:t>2</w:t>
      </w:r>
      <w:r w:rsidRPr="00CA5217">
        <w:rPr>
          <w:rFonts w:cs="Marianne"/>
        </w:rPr>
        <w:t xml:space="preserve">) et de revenu disponible médian (inférieur ou égal à </w:t>
      </w:r>
      <w:r w:rsidRPr="00CA5217">
        <w:rPr>
          <w:rFonts w:eastAsia="Times New Roman" w:cs="Times New Roman"/>
          <w:lang w:eastAsia="fr-FR"/>
        </w:rPr>
        <w:t>21</w:t>
      </w:r>
      <w:r w:rsidRPr="00CA5217">
        <w:rPr>
          <w:rFonts w:ascii="Calibri" w:eastAsia="Times New Roman" w:hAnsi="Calibri" w:cs="Calibri"/>
          <w:lang w:eastAsia="fr-FR"/>
        </w:rPr>
        <w:t> </w:t>
      </w:r>
      <w:r w:rsidRPr="00CA5217">
        <w:rPr>
          <w:rFonts w:eastAsia="Times New Roman" w:cs="Times New Roman"/>
          <w:lang w:eastAsia="fr-FR"/>
        </w:rPr>
        <w:t>665 €).</w:t>
      </w:r>
    </w:p>
    <w:p w14:paraId="5F4E27F9" w14:textId="77777777" w:rsidR="001E01AF" w:rsidRPr="00CA5217" w:rsidRDefault="00AF646F" w:rsidP="00FB14BD">
      <w:pPr>
        <w:pStyle w:val="Titre4"/>
        <w:numPr>
          <w:ilvl w:val="0"/>
          <w:numId w:val="43"/>
        </w:numPr>
        <w:rPr>
          <w:rFonts w:ascii="Marianne" w:hAnsi="Marianne"/>
          <w:b/>
          <w:u w:val="single"/>
        </w:rPr>
      </w:pPr>
      <w:bookmarkStart w:id="37" w:name="_Toc192844112"/>
      <w:bookmarkStart w:id="38" w:name="_Toc192849385"/>
      <w:r w:rsidRPr="00CA5217">
        <w:rPr>
          <w:rFonts w:ascii="Marianne" w:hAnsi="Marianne"/>
          <w:b/>
          <w:color w:val="auto"/>
          <w:u w:val="single"/>
        </w:rPr>
        <w:t>La prise en compte des communes FRR «</w:t>
      </w:r>
      <w:r w:rsidRPr="00CA5217">
        <w:rPr>
          <w:rFonts w:ascii="Calibri" w:hAnsi="Calibri" w:cs="Calibri"/>
          <w:b/>
          <w:color w:val="auto"/>
          <w:u w:val="single"/>
        </w:rPr>
        <w:t> </w:t>
      </w:r>
      <w:r w:rsidRPr="00CA5217">
        <w:rPr>
          <w:rFonts w:ascii="Marianne" w:hAnsi="Marianne"/>
          <w:b/>
          <w:color w:val="auto"/>
          <w:u w:val="single"/>
        </w:rPr>
        <w:t>bénéficiaires</w:t>
      </w:r>
      <w:r w:rsidRPr="00CA5217">
        <w:rPr>
          <w:rFonts w:ascii="Calibri" w:hAnsi="Calibri" w:cs="Calibri"/>
          <w:b/>
          <w:color w:val="auto"/>
          <w:u w:val="single"/>
        </w:rPr>
        <w:t> </w:t>
      </w:r>
      <w:r w:rsidRPr="00CA5217">
        <w:rPr>
          <w:rFonts w:ascii="Marianne" w:hAnsi="Marianne"/>
          <w:b/>
          <w:color w:val="auto"/>
          <w:u w:val="single"/>
        </w:rPr>
        <w:t>»</w:t>
      </w:r>
      <w:bookmarkEnd w:id="37"/>
      <w:bookmarkEnd w:id="38"/>
    </w:p>
    <w:p w14:paraId="40AFF5EF" w14:textId="77777777" w:rsidR="00543BFE" w:rsidRPr="00CA5217" w:rsidRDefault="00543BFE">
      <w:pPr>
        <w:jc w:val="both"/>
        <w:rPr>
          <w:rFonts w:cs="Marianne"/>
        </w:rPr>
      </w:pPr>
    </w:p>
    <w:p w14:paraId="54606422" w14:textId="2F6E4A2D" w:rsidR="001E01AF" w:rsidRPr="00CA5217" w:rsidRDefault="000920DF">
      <w:pPr>
        <w:jc w:val="both"/>
        <w:rPr>
          <w:rStyle w:val="markedcontent"/>
          <w:rFonts w:cs="Arial"/>
        </w:rPr>
      </w:pPr>
      <w:r w:rsidRPr="00CA5217">
        <w:rPr>
          <w:rFonts w:cs="Marianne"/>
        </w:rPr>
        <w:t>L</w:t>
      </w:r>
      <w:r w:rsidR="00AF646F" w:rsidRPr="00CA5217">
        <w:rPr>
          <w:rFonts w:cs="Marianne"/>
        </w:rPr>
        <w:t>e IV de l’article 99 de la loi de finances pour 2025 prévoit que les communes auparavant situées en ZRR</w:t>
      </w:r>
      <w:r w:rsidR="00AF646F" w:rsidRPr="00CA5217">
        <w:rPr>
          <w:rStyle w:val="markedcontent"/>
          <w:rFonts w:cs="Arial"/>
        </w:rPr>
        <w:t xml:space="preserve"> et n’ayant pas été classées FRR au 1</w:t>
      </w:r>
      <w:r w:rsidR="00AF646F" w:rsidRPr="00CA5217">
        <w:rPr>
          <w:rStyle w:val="markedcontent"/>
          <w:rFonts w:cs="Arial"/>
          <w:vertAlign w:val="superscript"/>
        </w:rPr>
        <w:t>er</w:t>
      </w:r>
      <w:r w:rsidR="00AF646F" w:rsidRPr="00CA5217">
        <w:rPr>
          <w:rStyle w:val="markedcontent"/>
          <w:rFonts w:cs="Arial"/>
        </w:rPr>
        <w:t xml:space="preserve"> juillet 2024, peuvent bénéficier des effets de ce nouveau zonage.</w:t>
      </w:r>
    </w:p>
    <w:p w14:paraId="10EE3CAE" w14:textId="77777777" w:rsidR="001E01AF" w:rsidRPr="00CA5217" w:rsidRDefault="00AF646F">
      <w:pPr>
        <w:jc w:val="both"/>
        <w:rPr>
          <w:rStyle w:val="markedcontent"/>
          <w:rFonts w:cs="Marianne"/>
        </w:rPr>
      </w:pPr>
      <w:r w:rsidRPr="00CA5217">
        <w:rPr>
          <w:rStyle w:val="markedcontent"/>
          <w:rFonts w:cs="Arial"/>
        </w:rPr>
        <w:t>Cette mesure transitoire s’applique jusqu’au 31 décembre 2027 et concerne plus de 2</w:t>
      </w:r>
      <w:r w:rsidRPr="00CA5217">
        <w:rPr>
          <w:rStyle w:val="markedcontent"/>
          <w:rFonts w:ascii="Calibri" w:hAnsi="Calibri" w:cs="Calibri"/>
        </w:rPr>
        <w:t> </w:t>
      </w:r>
      <w:r w:rsidRPr="00CA5217">
        <w:rPr>
          <w:rStyle w:val="markedcontent"/>
          <w:rFonts w:cs="Arial"/>
        </w:rPr>
        <w:t>000 communes FRR «</w:t>
      </w:r>
      <w:r w:rsidRPr="00CA5217">
        <w:rPr>
          <w:rStyle w:val="markedcontent"/>
          <w:rFonts w:ascii="Calibri" w:hAnsi="Calibri" w:cs="Calibri"/>
        </w:rPr>
        <w:t> </w:t>
      </w:r>
      <w:r w:rsidRPr="00CA5217">
        <w:rPr>
          <w:rStyle w:val="markedcontent"/>
          <w:rFonts w:cs="Arial"/>
        </w:rPr>
        <w:t>bénéficiaires</w:t>
      </w:r>
      <w:r w:rsidRPr="00CA5217">
        <w:rPr>
          <w:rStyle w:val="markedcontent"/>
          <w:rFonts w:ascii="Calibri" w:hAnsi="Calibri" w:cs="Calibri"/>
        </w:rPr>
        <w:t> </w:t>
      </w:r>
      <w:r w:rsidRPr="00CA5217">
        <w:rPr>
          <w:rStyle w:val="markedcontent"/>
          <w:rFonts w:cs="Marianne"/>
        </w:rPr>
        <w:t>». Celles-ci</w:t>
      </w:r>
      <w:r w:rsidRPr="00CA5217">
        <w:rPr>
          <w:rStyle w:val="markedcontent"/>
          <w:rFonts w:cs="Arial"/>
        </w:rPr>
        <w:t xml:space="preserve"> peuvent ainsi bénéficier des mêmes dispositifs d’exonérations fiscales et sociales ainsi que des mesures «</w:t>
      </w:r>
      <w:r w:rsidRPr="00CA5217">
        <w:rPr>
          <w:rStyle w:val="markedcontent"/>
          <w:rFonts w:ascii="Calibri" w:hAnsi="Calibri" w:cs="Calibri"/>
        </w:rPr>
        <w:t> </w:t>
      </w:r>
      <w:r w:rsidRPr="00CA5217">
        <w:rPr>
          <w:rStyle w:val="markedcontent"/>
          <w:rFonts w:cs="Arial"/>
        </w:rPr>
        <w:t>adossées</w:t>
      </w:r>
      <w:r w:rsidRPr="00CA5217">
        <w:rPr>
          <w:rStyle w:val="markedcontent"/>
          <w:rFonts w:ascii="Calibri" w:hAnsi="Calibri" w:cs="Calibri"/>
        </w:rPr>
        <w:t> </w:t>
      </w:r>
      <w:r w:rsidRPr="00CA5217">
        <w:rPr>
          <w:rStyle w:val="markedcontent"/>
          <w:rFonts w:cs="Marianne"/>
        </w:rPr>
        <w:t>» prévues pour les communes «</w:t>
      </w:r>
      <w:r w:rsidRPr="00CA5217">
        <w:rPr>
          <w:rStyle w:val="markedcontent"/>
          <w:rFonts w:ascii="Calibri" w:hAnsi="Calibri" w:cs="Calibri"/>
        </w:rPr>
        <w:t> </w:t>
      </w:r>
      <w:r w:rsidRPr="00CA5217">
        <w:rPr>
          <w:rStyle w:val="markedcontent"/>
          <w:rFonts w:cs="Marianne"/>
        </w:rPr>
        <w:t>classées</w:t>
      </w:r>
      <w:r w:rsidRPr="00CA5217">
        <w:rPr>
          <w:rStyle w:val="markedcontent"/>
          <w:rFonts w:ascii="Calibri" w:hAnsi="Calibri" w:cs="Calibri"/>
        </w:rPr>
        <w:t> </w:t>
      </w:r>
      <w:r w:rsidRPr="00CA5217">
        <w:rPr>
          <w:rStyle w:val="markedcontent"/>
          <w:rFonts w:cs="Marianne"/>
        </w:rPr>
        <w:t>» en FRR.</w:t>
      </w:r>
    </w:p>
    <w:p w14:paraId="1E9A87E6" w14:textId="7AE8B9AE" w:rsidR="001E01AF" w:rsidRPr="00CA5217" w:rsidRDefault="00AF646F">
      <w:pPr>
        <w:jc w:val="both"/>
        <w:rPr>
          <w:rFonts w:cs="Marianne"/>
        </w:rPr>
      </w:pPr>
      <w:r w:rsidRPr="00CA5217">
        <w:rPr>
          <w:rStyle w:val="markedcontent"/>
          <w:rFonts w:cs="Marianne"/>
        </w:rPr>
        <w:t>Le IV de l’article 99 de la loi de finances pour 2025 précise que le dispositif des FRR «</w:t>
      </w:r>
      <w:r w:rsidRPr="00CA5217">
        <w:rPr>
          <w:rStyle w:val="markedcontent"/>
          <w:rFonts w:ascii="Calibri" w:hAnsi="Calibri" w:cs="Calibri"/>
        </w:rPr>
        <w:t> </w:t>
      </w:r>
      <w:r w:rsidRPr="00CA5217">
        <w:rPr>
          <w:rStyle w:val="markedcontent"/>
          <w:rFonts w:cs="Marianne"/>
        </w:rPr>
        <w:t>bénéficiaires</w:t>
      </w:r>
      <w:r w:rsidRPr="00CA5217">
        <w:rPr>
          <w:rStyle w:val="markedcontent"/>
          <w:rFonts w:ascii="Calibri" w:hAnsi="Calibri" w:cs="Calibri"/>
        </w:rPr>
        <w:t> </w:t>
      </w:r>
      <w:r w:rsidRPr="00CA5217">
        <w:rPr>
          <w:rStyle w:val="markedcontent"/>
          <w:rFonts w:cs="Marianne"/>
        </w:rPr>
        <w:t xml:space="preserve">» est applicable aux portions de territoire d'une commune nouvelle correspondant aux limites territoriales d'une ancienne commune </w:t>
      </w:r>
      <w:r w:rsidR="00944B6E" w:rsidRPr="00CA5217">
        <w:rPr>
          <w:rStyle w:val="markedcontent"/>
          <w:rFonts w:cs="Marianne"/>
        </w:rPr>
        <w:t>située en</w:t>
      </w:r>
      <w:r w:rsidRPr="00CA5217">
        <w:rPr>
          <w:rStyle w:val="markedcontent"/>
          <w:rFonts w:cs="Marianne"/>
        </w:rPr>
        <w:t xml:space="preserve"> ZRR.</w:t>
      </w:r>
    </w:p>
    <w:p w14:paraId="06DBA49C" w14:textId="77777777" w:rsidR="002C5B35" w:rsidRPr="00CA5217" w:rsidRDefault="002C5B35">
      <w:pPr>
        <w:jc w:val="both"/>
        <w:rPr>
          <w:rFonts w:cs="Marianne"/>
          <w:b/>
          <w:i/>
          <w:u w:val="single"/>
        </w:rPr>
      </w:pPr>
    </w:p>
    <w:p w14:paraId="553218CE" w14:textId="504875CA" w:rsidR="001E01AF" w:rsidRPr="00CA5217" w:rsidRDefault="00AF646F">
      <w:pPr>
        <w:jc w:val="both"/>
        <w:rPr>
          <w:rFonts w:cs="Marianne"/>
          <w:b/>
          <w:i/>
          <w:u w:val="single"/>
        </w:rPr>
      </w:pPr>
      <w:r w:rsidRPr="00CA5217">
        <w:rPr>
          <w:rFonts w:cs="Marianne"/>
          <w:b/>
          <w:i/>
          <w:u w:val="single"/>
        </w:rPr>
        <w:t>Quelles sont les modalités et la date d’entrée en vigueur des mesures de zonage adoptées en loi de finances pour 2025</w:t>
      </w:r>
      <w:r w:rsidRPr="00CA5217">
        <w:rPr>
          <w:rFonts w:ascii="Calibri" w:hAnsi="Calibri" w:cs="Calibri"/>
          <w:b/>
          <w:i/>
          <w:u w:val="single"/>
        </w:rPr>
        <w:t> </w:t>
      </w:r>
      <w:r w:rsidRPr="00CA5217">
        <w:rPr>
          <w:rFonts w:cs="Marianne"/>
          <w:b/>
          <w:i/>
          <w:u w:val="single"/>
        </w:rPr>
        <w:t>?</w:t>
      </w:r>
    </w:p>
    <w:p w14:paraId="7DEE7BD6" w14:textId="44A45C4C" w:rsidR="001E01AF" w:rsidRPr="00CA5217" w:rsidRDefault="00AF646F">
      <w:pPr>
        <w:jc w:val="both"/>
        <w:rPr>
          <w:rFonts w:cs="Marianne"/>
        </w:rPr>
      </w:pPr>
      <w:r w:rsidRPr="00CA5217">
        <w:rPr>
          <w:rFonts w:cs="Marianne"/>
        </w:rPr>
        <w:t>Le classement en FRR «</w:t>
      </w:r>
      <w:r w:rsidRPr="00CA5217">
        <w:rPr>
          <w:rFonts w:ascii="Calibri" w:hAnsi="Calibri" w:cs="Calibri"/>
        </w:rPr>
        <w:t> </w:t>
      </w:r>
      <w:r w:rsidRPr="00CA5217">
        <w:rPr>
          <w:rFonts w:cs="Marianne"/>
        </w:rPr>
        <w:t>socle</w:t>
      </w:r>
      <w:r w:rsidRPr="00CA5217">
        <w:rPr>
          <w:rFonts w:ascii="Calibri" w:hAnsi="Calibri" w:cs="Calibri"/>
        </w:rPr>
        <w:t> </w:t>
      </w:r>
      <w:r w:rsidRPr="00CA5217">
        <w:rPr>
          <w:rFonts w:cs="Marianne"/>
        </w:rPr>
        <w:t xml:space="preserve">» des nouvelles communes entrantes mentionnées au point </w:t>
      </w:r>
      <w:r w:rsidR="002B4A1C" w:rsidRPr="00CA5217">
        <w:rPr>
          <w:rFonts w:cs="Marianne"/>
          <w:i/>
        </w:rPr>
        <w:t>a)</w:t>
      </w:r>
      <w:r w:rsidRPr="00CA5217">
        <w:rPr>
          <w:rFonts w:cs="Marianne"/>
          <w:i/>
        </w:rPr>
        <w:t xml:space="preserve"> </w:t>
      </w:r>
      <w:r w:rsidRPr="00CA5217">
        <w:rPr>
          <w:rFonts w:cs="Marianne"/>
        </w:rPr>
        <w:t>est applicable rétroactivement au 1</w:t>
      </w:r>
      <w:r w:rsidRPr="00CA5217">
        <w:rPr>
          <w:rFonts w:cs="Marianne"/>
          <w:vertAlign w:val="superscript"/>
        </w:rPr>
        <w:t>er</w:t>
      </w:r>
      <w:r w:rsidRPr="00CA5217">
        <w:rPr>
          <w:rFonts w:cs="Marianne"/>
        </w:rPr>
        <w:t xml:space="preserve"> juillet 2024. De même, les communes FRR «</w:t>
      </w:r>
      <w:r w:rsidRPr="00CA5217">
        <w:rPr>
          <w:rFonts w:ascii="Calibri" w:hAnsi="Calibri" w:cs="Calibri"/>
        </w:rPr>
        <w:t> </w:t>
      </w:r>
      <w:r w:rsidRPr="00CA5217">
        <w:rPr>
          <w:rFonts w:cs="Marianne"/>
        </w:rPr>
        <w:t>bénéficiaires</w:t>
      </w:r>
      <w:r w:rsidRPr="00CA5217">
        <w:rPr>
          <w:rFonts w:ascii="Calibri" w:hAnsi="Calibri" w:cs="Calibri"/>
        </w:rPr>
        <w:t> </w:t>
      </w:r>
      <w:r w:rsidRPr="00CA5217">
        <w:rPr>
          <w:rFonts w:cs="Marianne"/>
        </w:rPr>
        <w:t xml:space="preserve">», mentionnées au point </w:t>
      </w:r>
      <w:r w:rsidRPr="00CA5217">
        <w:rPr>
          <w:rFonts w:cs="Marianne"/>
          <w:i/>
        </w:rPr>
        <w:t>b)</w:t>
      </w:r>
      <w:r w:rsidRPr="00CA5217">
        <w:rPr>
          <w:rFonts w:cs="Marianne"/>
        </w:rPr>
        <w:t>, bénéficient des effets du classement</w:t>
      </w:r>
      <w:r w:rsidRPr="00CA5217">
        <w:rPr>
          <w:rFonts w:cs="Marianne"/>
          <w:i/>
        </w:rPr>
        <w:t xml:space="preserve"> </w:t>
      </w:r>
      <w:r w:rsidR="00AC33CB" w:rsidRPr="00CA5217">
        <w:rPr>
          <w:rFonts w:cs="Marianne"/>
        </w:rPr>
        <w:t xml:space="preserve">FRR </w:t>
      </w:r>
      <w:r w:rsidRPr="00CA5217">
        <w:rPr>
          <w:rFonts w:cs="Marianne"/>
        </w:rPr>
        <w:t>à compter du</w:t>
      </w:r>
      <w:r w:rsidRPr="00CA5217">
        <w:rPr>
          <w:rFonts w:cs="Marianne"/>
          <w:i/>
        </w:rPr>
        <w:t xml:space="preserve"> </w:t>
      </w:r>
      <w:r w:rsidRPr="00CA5217">
        <w:rPr>
          <w:rFonts w:cs="Marianne"/>
        </w:rPr>
        <w:t>1</w:t>
      </w:r>
      <w:r w:rsidRPr="00CA5217">
        <w:rPr>
          <w:rFonts w:cs="Marianne"/>
          <w:vertAlign w:val="superscript"/>
        </w:rPr>
        <w:t>er</w:t>
      </w:r>
      <w:r w:rsidRPr="00CA5217">
        <w:rPr>
          <w:rFonts w:cs="Marianne"/>
        </w:rPr>
        <w:t xml:space="preserve"> juillet 2024.</w:t>
      </w:r>
    </w:p>
    <w:p w14:paraId="471B92BF" w14:textId="2B703134" w:rsidR="00AF00DF" w:rsidRPr="00543BFE" w:rsidRDefault="00AF646F">
      <w:pPr>
        <w:jc w:val="both"/>
        <w:rPr>
          <w:rFonts w:cs="Marianne"/>
        </w:rPr>
      </w:pPr>
      <w:r w:rsidRPr="00CA5217">
        <w:rPr>
          <w:rFonts w:cs="Marianne"/>
        </w:rPr>
        <w:t xml:space="preserve">Un arrêté modifiant l’arrêté du 19 juin 2024 précité sera publié très prochainement pour </w:t>
      </w:r>
      <w:r w:rsidR="0073273A" w:rsidRPr="00CA5217">
        <w:rPr>
          <w:rFonts w:cs="Marianne"/>
        </w:rPr>
        <w:t xml:space="preserve">constater le classement de </w:t>
      </w:r>
      <w:r w:rsidRPr="00CA5217">
        <w:rPr>
          <w:rFonts w:cs="Marianne"/>
        </w:rPr>
        <w:t>ces nouvelles communes.</w:t>
      </w:r>
    </w:p>
    <w:p w14:paraId="37409281" w14:textId="77777777" w:rsidR="001E01AF" w:rsidRPr="00543BFE" w:rsidRDefault="00AF646F" w:rsidP="00543BFE">
      <w:pPr>
        <w:pStyle w:val="Titre2"/>
        <w:rPr>
          <w:rStyle w:val="markedcontent"/>
          <w:b w:val="0"/>
          <w:i/>
          <w:sz w:val="28"/>
          <w:u w:val="single"/>
        </w:rPr>
      </w:pPr>
      <w:bookmarkStart w:id="39" w:name="_Toc192844113"/>
      <w:bookmarkStart w:id="40" w:name="_Toc192849386"/>
      <w:r w:rsidRPr="00543BFE">
        <w:rPr>
          <w:i/>
          <w:sz w:val="28"/>
          <w:u w:val="single"/>
        </w:rPr>
        <w:lastRenderedPageBreak/>
        <w:t>France ruralités revitalisation</w:t>
      </w:r>
      <w:r w:rsidRPr="00543BFE">
        <w:rPr>
          <w:rFonts w:ascii="Calibri" w:hAnsi="Calibri" w:cs="Calibri"/>
          <w:i/>
          <w:sz w:val="28"/>
          <w:u w:val="single"/>
        </w:rPr>
        <w:t> </w:t>
      </w:r>
      <w:r w:rsidRPr="00543BFE">
        <w:rPr>
          <w:i/>
          <w:sz w:val="28"/>
          <w:u w:val="single"/>
        </w:rPr>
        <w:t>: quels avantages</w:t>
      </w:r>
      <w:r w:rsidRPr="00543BFE">
        <w:rPr>
          <w:rFonts w:ascii="Calibri" w:hAnsi="Calibri" w:cs="Calibri"/>
          <w:i/>
          <w:sz w:val="28"/>
          <w:u w:val="single"/>
        </w:rPr>
        <w:t> </w:t>
      </w:r>
      <w:r w:rsidRPr="00543BFE">
        <w:rPr>
          <w:i/>
          <w:sz w:val="28"/>
          <w:u w:val="single"/>
        </w:rPr>
        <w:t>?</w:t>
      </w:r>
      <w:bookmarkEnd w:id="39"/>
      <w:bookmarkEnd w:id="40"/>
    </w:p>
    <w:p w14:paraId="15CDA0D9" w14:textId="77777777" w:rsidR="00A70719" w:rsidRDefault="00A70719">
      <w:pPr>
        <w:jc w:val="both"/>
        <w:rPr>
          <w:color w:val="000000" w:themeColor="text1"/>
        </w:rPr>
      </w:pPr>
    </w:p>
    <w:p w14:paraId="43412765" w14:textId="445541E4" w:rsidR="001E01AF" w:rsidRDefault="00AF646F">
      <w:pPr>
        <w:jc w:val="both"/>
        <w:rPr>
          <w:color w:val="000000" w:themeColor="text1"/>
        </w:rPr>
      </w:pPr>
      <w:r>
        <w:rPr>
          <w:color w:val="000000" w:themeColor="text1"/>
        </w:rPr>
        <w:t>Le classement d’une commune en FRR ou FRR+ rend éligible les entreprises qui s’implantent sur ce territoire à des dispositifs d’exonérations fiscales et sociales.</w:t>
      </w:r>
    </w:p>
    <w:p w14:paraId="359120F0" w14:textId="77777777" w:rsidR="001E01AF" w:rsidRDefault="00AF646F">
      <w:pPr>
        <w:jc w:val="both"/>
        <w:rPr>
          <w:color w:val="000000" w:themeColor="text1"/>
        </w:rPr>
      </w:pPr>
      <w:r>
        <w:rPr>
          <w:color w:val="000000" w:themeColor="text1"/>
        </w:rPr>
        <w:t>Le zonage à deux niveaux, FRR et FRR+, a pour objectif d’adapter les dispositifs d’exonérations selon la vulnérabilité des territoires ruraux. Ainsi, les entreprises qui s’implantent dans une commune située en FRR+ pourront bénéficier de mécanismes d’aides renforcés qui se traduisent par un panel d’entreprises et d’opérations éligibles plus large.</w:t>
      </w:r>
    </w:p>
    <w:p w14:paraId="1BA96976" w14:textId="77777777" w:rsidR="001E01AF" w:rsidRDefault="00AF646F">
      <w:pPr>
        <w:jc w:val="both"/>
      </w:pPr>
      <w:r>
        <w:t>L’ensemble des mesures décrites ci-dessous sont applicables aux entreprises qui s’installent en FRR à compter du 1</w:t>
      </w:r>
      <w:r>
        <w:rPr>
          <w:vertAlign w:val="superscript"/>
        </w:rPr>
        <w:t>er</w:t>
      </w:r>
      <w:r>
        <w:t xml:space="preserve"> juillet 2024. </w:t>
      </w:r>
    </w:p>
    <w:p w14:paraId="1CD6CE09" w14:textId="2AD3E953" w:rsidR="00CE533C" w:rsidRDefault="00AF646F">
      <w:pPr>
        <w:jc w:val="both"/>
      </w:pPr>
      <w:r>
        <w:t>Une publication ultérieure au Bulletin officiel des finances publiques – impôts (Bofip) fera foi sur les aspects fiscaux.</w:t>
      </w:r>
    </w:p>
    <w:p w14:paraId="70734441" w14:textId="77777777" w:rsidR="001E01AF" w:rsidRDefault="001E01AF">
      <w:pPr>
        <w:pStyle w:val="Paragraphedeliste"/>
        <w:numPr>
          <w:ilvl w:val="0"/>
          <w:numId w:val="27"/>
        </w:numPr>
        <w:jc w:val="both"/>
        <w:rPr>
          <w:b/>
          <w:i/>
          <w:vanish/>
          <w:color w:val="000000" w:themeColor="text1"/>
          <w:u w:val="single"/>
        </w:rPr>
      </w:pPr>
    </w:p>
    <w:p w14:paraId="110E6E26" w14:textId="77777777" w:rsidR="001E01AF" w:rsidRDefault="001E01AF">
      <w:pPr>
        <w:pStyle w:val="Paragraphedeliste"/>
        <w:numPr>
          <w:ilvl w:val="0"/>
          <w:numId w:val="27"/>
        </w:numPr>
        <w:jc w:val="both"/>
        <w:rPr>
          <w:b/>
          <w:i/>
          <w:vanish/>
          <w:color w:val="000000" w:themeColor="text1"/>
          <w:u w:val="single"/>
        </w:rPr>
      </w:pPr>
    </w:p>
    <w:p w14:paraId="71A45715" w14:textId="77777777" w:rsidR="001E01AF" w:rsidRDefault="001E01AF">
      <w:pPr>
        <w:pStyle w:val="Paragraphedeliste"/>
        <w:numPr>
          <w:ilvl w:val="0"/>
          <w:numId w:val="27"/>
        </w:numPr>
        <w:jc w:val="both"/>
        <w:rPr>
          <w:b/>
          <w:i/>
          <w:vanish/>
          <w:color w:val="000000" w:themeColor="text1"/>
          <w:u w:val="single"/>
        </w:rPr>
      </w:pPr>
    </w:p>
    <w:p w14:paraId="48ADB212" w14:textId="77777777" w:rsidR="001E01AF" w:rsidRDefault="001E01AF">
      <w:pPr>
        <w:pStyle w:val="Paragraphedeliste"/>
        <w:numPr>
          <w:ilvl w:val="0"/>
          <w:numId w:val="27"/>
        </w:numPr>
        <w:jc w:val="both"/>
        <w:rPr>
          <w:b/>
          <w:i/>
          <w:vanish/>
          <w:color w:val="000000" w:themeColor="text1"/>
          <w:u w:val="single"/>
        </w:rPr>
      </w:pPr>
    </w:p>
    <w:p w14:paraId="595F7864" w14:textId="60432D13" w:rsidR="001E01AF" w:rsidRPr="00F950FC" w:rsidRDefault="00800048" w:rsidP="00D964A6">
      <w:pPr>
        <w:pStyle w:val="Titre3"/>
        <w:ind w:left="567"/>
        <w:rPr>
          <w:i/>
          <w:color w:val="000000" w:themeColor="text1"/>
          <w:u w:val="single"/>
        </w:rPr>
      </w:pPr>
      <w:bookmarkStart w:id="41" w:name="_Toc192844114"/>
      <w:bookmarkStart w:id="42" w:name="_Toc192849387"/>
      <w:r>
        <w:rPr>
          <w:i/>
          <w:color w:val="000000" w:themeColor="text1"/>
          <w:sz w:val="24"/>
          <w:u w:val="single"/>
        </w:rPr>
        <w:t>Quels sont les principaux dispositifs d’exonérations fiscales proposés dans une commune classée ou bénéficiaire FRR ?</w:t>
      </w:r>
      <w:bookmarkEnd w:id="41"/>
      <w:bookmarkEnd w:id="42"/>
    </w:p>
    <w:p w14:paraId="270B36CE" w14:textId="4A2A2AFD" w:rsidR="00F950FC" w:rsidRDefault="00F950FC">
      <w:pPr>
        <w:jc w:val="both"/>
        <w:rPr>
          <w:b/>
          <w:i/>
          <w:color w:val="000000" w:themeColor="text1"/>
          <w:u w:val="single"/>
        </w:rPr>
      </w:pPr>
    </w:p>
    <w:p w14:paraId="4EBFF869" w14:textId="3F68992A" w:rsidR="00800048" w:rsidRPr="00800048" w:rsidRDefault="00800048" w:rsidP="00800048">
      <w:pPr>
        <w:pStyle w:val="Titre4"/>
        <w:numPr>
          <w:ilvl w:val="2"/>
          <w:numId w:val="27"/>
        </w:numPr>
        <w:rPr>
          <w:rFonts w:ascii="Marianne" w:hAnsi="Marianne"/>
          <w:b/>
          <w:u w:val="single"/>
        </w:rPr>
      </w:pPr>
      <w:bookmarkStart w:id="43" w:name="_Toc192849388"/>
      <w:r w:rsidRPr="00800048">
        <w:rPr>
          <w:rFonts w:ascii="Marianne" w:hAnsi="Marianne"/>
          <w:b/>
          <w:color w:val="auto"/>
          <w:u w:val="single"/>
        </w:rPr>
        <w:t>Principes généraux</w:t>
      </w:r>
      <w:bookmarkEnd w:id="43"/>
    </w:p>
    <w:p w14:paraId="58FED121" w14:textId="77777777" w:rsidR="00800048" w:rsidRDefault="00800048">
      <w:pPr>
        <w:jc w:val="both"/>
        <w:rPr>
          <w:b/>
          <w:i/>
          <w:color w:val="000000" w:themeColor="text1"/>
          <w:u w:val="single"/>
        </w:rPr>
      </w:pPr>
    </w:p>
    <w:p w14:paraId="3E9A8399" w14:textId="5ADE557C" w:rsidR="001E01AF" w:rsidRDefault="00AF646F">
      <w:pPr>
        <w:jc w:val="both"/>
        <w:rPr>
          <w:b/>
          <w:i/>
          <w:color w:val="000000" w:themeColor="text1"/>
          <w:u w:val="single"/>
        </w:rPr>
      </w:pPr>
      <w:r>
        <w:rPr>
          <w:b/>
          <w:i/>
          <w:color w:val="000000" w:themeColor="text1"/>
          <w:u w:val="single"/>
        </w:rPr>
        <w:t>Dans quels cas les communes ou EPCI-FP peuvent-ils délibére</w:t>
      </w:r>
      <w:r w:rsidR="001A5834">
        <w:rPr>
          <w:b/>
          <w:i/>
          <w:color w:val="000000" w:themeColor="text1"/>
          <w:u w:val="single"/>
        </w:rPr>
        <w:t>r pou</w:t>
      </w:r>
      <w:r>
        <w:rPr>
          <w:b/>
          <w:i/>
          <w:color w:val="000000" w:themeColor="text1"/>
          <w:u w:val="single"/>
        </w:rPr>
        <w:t>r</w:t>
      </w:r>
      <w:r w:rsidR="001A5834">
        <w:rPr>
          <w:b/>
          <w:i/>
          <w:color w:val="000000" w:themeColor="text1"/>
          <w:u w:val="single"/>
        </w:rPr>
        <w:t xml:space="preserve"> ouvrir droit aux exonérations d’impôts locaux</w:t>
      </w:r>
      <w:r>
        <w:rPr>
          <w:rFonts w:ascii="Calibri" w:hAnsi="Calibri" w:cs="Calibri"/>
          <w:b/>
          <w:i/>
          <w:color w:val="000000" w:themeColor="text1"/>
          <w:u w:val="single"/>
        </w:rPr>
        <w:t> </w:t>
      </w:r>
      <w:r>
        <w:rPr>
          <w:b/>
          <w:i/>
          <w:color w:val="000000" w:themeColor="text1"/>
          <w:u w:val="single"/>
        </w:rPr>
        <w:t>?</w:t>
      </w:r>
    </w:p>
    <w:p w14:paraId="48B7544E" w14:textId="63B01673" w:rsidR="001E01AF" w:rsidRDefault="002F06D0">
      <w:pPr>
        <w:pStyle w:val="Paragraphedeliste"/>
        <w:numPr>
          <w:ilvl w:val="0"/>
          <w:numId w:val="2"/>
        </w:numPr>
        <w:jc w:val="both"/>
        <w:rPr>
          <w:color w:val="000000" w:themeColor="text1"/>
        </w:rPr>
      </w:pPr>
      <w:r>
        <w:rPr>
          <w:rFonts w:cs="Arial"/>
          <w:noProof/>
          <w:lang w:eastAsia="fr-FR"/>
        </w:rPr>
        <mc:AlternateContent>
          <mc:Choice Requires="wps">
            <w:drawing>
              <wp:anchor distT="0" distB="0" distL="114300" distR="114300" simplePos="0" relativeHeight="251675648" behindDoc="0" locked="0" layoutInCell="1" allowOverlap="1" wp14:anchorId="7783CEF9" wp14:editId="0EBEF6B2">
                <wp:simplePos x="0" y="0"/>
                <wp:positionH relativeFrom="column">
                  <wp:posOffset>-808990</wp:posOffset>
                </wp:positionH>
                <wp:positionV relativeFrom="paragraph">
                  <wp:posOffset>186055</wp:posOffset>
                </wp:positionV>
                <wp:extent cx="809296" cy="294289"/>
                <wp:effectExtent l="0" t="0" r="10160" b="10795"/>
                <wp:wrapNone/>
                <wp:docPr id="14" name="Rectangle à coins arrondis 14"/>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DA02D" w14:textId="77777777" w:rsidR="002F06D0" w:rsidRPr="00774AB8" w:rsidRDefault="002F06D0" w:rsidP="002F06D0">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3CEF9" id="Rectangle à coins arrondis 14" o:spid="_x0000_s1029" style="position:absolute;left:0;text-align:left;margin-left:-63.7pt;margin-top:14.65pt;width:63.7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" fillcolor="#b4c6e7 [1304]" strokecolor="black [3213]" strokeweight="1pt">
                <v:stroke joinstyle="miter"/>
                <v:textbox>
                  <w:txbxContent>
                    <w:p w14:paraId="244DA02D" w14:textId="77777777" w:rsidR="002F06D0" w:rsidRPr="00774AB8" w:rsidRDefault="002F06D0" w:rsidP="002F06D0">
                      <w:pPr>
                        <w:jc w:val="center"/>
                        <w:rPr>
                          <w:b/>
                        </w:rPr>
                      </w:pPr>
                      <w:r w:rsidRPr="00774AB8">
                        <w:rPr>
                          <w:b/>
                          <w:sz w:val="20"/>
                        </w:rPr>
                        <w:t>Nouve</w:t>
                      </w:r>
                      <w:r w:rsidRPr="00774AB8">
                        <w:rPr>
                          <w:b/>
                        </w:rPr>
                        <w:t>au</w:t>
                      </w:r>
                    </w:p>
                  </w:txbxContent>
                </v:textbox>
              </v:roundrect>
            </w:pict>
          </mc:Fallback>
        </mc:AlternateContent>
      </w:r>
      <w:r w:rsidR="00AF646F">
        <w:rPr>
          <w:color w:val="000000" w:themeColor="text1"/>
        </w:rPr>
        <w:t>Si une commune est nouvelle entrante dans le classement</w:t>
      </w:r>
      <w:r w:rsidR="00A453DE">
        <w:rPr>
          <w:color w:val="000000" w:themeColor="text1"/>
        </w:rPr>
        <w:t xml:space="preserve"> </w:t>
      </w:r>
      <w:r w:rsidR="00AF646F">
        <w:rPr>
          <w:color w:val="000000" w:themeColor="text1"/>
        </w:rPr>
        <w:t>FRR</w:t>
      </w:r>
      <w:r w:rsidR="00AF646F">
        <w:rPr>
          <w:rFonts w:ascii="Calibri" w:hAnsi="Calibri" w:cs="Calibri"/>
          <w:color w:val="000000" w:themeColor="text1"/>
        </w:rPr>
        <w:t> </w:t>
      </w:r>
      <w:r w:rsidR="00AF646F">
        <w:rPr>
          <w:color w:val="000000" w:themeColor="text1"/>
        </w:rPr>
        <w:t>;</w:t>
      </w:r>
    </w:p>
    <w:p w14:paraId="3C2A185E" w14:textId="471DF796" w:rsidR="001E01AF" w:rsidRDefault="00AF646F">
      <w:pPr>
        <w:pStyle w:val="Paragraphedeliste"/>
        <w:numPr>
          <w:ilvl w:val="0"/>
          <w:numId w:val="2"/>
        </w:numPr>
        <w:jc w:val="both"/>
        <w:rPr>
          <w:color w:val="000000" w:themeColor="text1"/>
        </w:rPr>
      </w:pPr>
      <w:r>
        <w:rPr>
          <w:color w:val="000000" w:themeColor="text1"/>
        </w:rPr>
        <w:t>Si une commune était ZRR et entre dans le classement FRR</w:t>
      </w:r>
      <w:r>
        <w:rPr>
          <w:rFonts w:ascii="Calibri" w:hAnsi="Calibri" w:cs="Calibri"/>
          <w:color w:val="000000" w:themeColor="text1"/>
        </w:rPr>
        <w:t> </w:t>
      </w:r>
      <w:r>
        <w:rPr>
          <w:color w:val="000000" w:themeColor="text1"/>
        </w:rPr>
        <w:t>;</w:t>
      </w:r>
    </w:p>
    <w:p w14:paraId="274FBF6A" w14:textId="2B9A895E" w:rsidR="0052343C" w:rsidRPr="00B735DF" w:rsidRDefault="00AF646F" w:rsidP="00A74DF0">
      <w:pPr>
        <w:pStyle w:val="Paragraphedeliste"/>
        <w:numPr>
          <w:ilvl w:val="0"/>
          <w:numId w:val="2"/>
        </w:numPr>
        <w:jc w:val="both"/>
        <w:rPr>
          <w:color w:val="000000" w:themeColor="text1"/>
        </w:rPr>
      </w:pPr>
      <w:r w:rsidRPr="00B735DF">
        <w:rPr>
          <w:color w:val="000000" w:themeColor="text1"/>
        </w:rPr>
        <w:t>Si une commune était ZRR et bénéficie des effets du classement FRR (du 1</w:t>
      </w:r>
      <w:r w:rsidRPr="00B735DF">
        <w:rPr>
          <w:color w:val="000000" w:themeColor="text1"/>
          <w:vertAlign w:val="superscript"/>
        </w:rPr>
        <w:t>er</w:t>
      </w:r>
      <w:r w:rsidRPr="00B735DF">
        <w:rPr>
          <w:color w:val="000000" w:themeColor="text1"/>
        </w:rPr>
        <w:t xml:space="preserve"> juillet 2024 au 31 décembre 2027).</w:t>
      </w:r>
    </w:p>
    <w:p w14:paraId="2D789DCE" w14:textId="5E4402E2" w:rsidR="00A74DF0" w:rsidRPr="00A74DF0" w:rsidRDefault="00A74DF0" w:rsidP="00A74DF0">
      <w:pPr>
        <w:pStyle w:val="Paragraphedeliste"/>
        <w:jc w:val="both"/>
        <w:rPr>
          <w:color w:val="000000" w:themeColor="text1"/>
          <w:highlight w:val="yellow"/>
        </w:rPr>
      </w:pPr>
    </w:p>
    <w:p w14:paraId="43F0669F" w14:textId="77777777" w:rsidR="001E01AF" w:rsidRDefault="00AF646F">
      <w:pPr>
        <w:jc w:val="both"/>
        <w:rPr>
          <w:b/>
          <w:i/>
          <w:color w:val="000000" w:themeColor="text1"/>
          <w:u w:val="single"/>
        </w:rPr>
      </w:pPr>
      <w:r>
        <w:rPr>
          <w:b/>
          <w:i/>
          <w:color w:val="000000" w:themeColor="text1"/>
          <w:u w:val="single"/>
        </w:rPr>
        <w:t>Quelle répartition de compétences entre communes et EPCI-FP</w:t>
      </w:r>
      <w:r>
        <w:rPr>
          <w:rFonts w:ascii="Calibri" w:hAnsi="Calibri" w:cs="Calibri"/>
          <w:b/>
          <w:i/>
          <w:color w:val="000000" w:themeColor="text1"/>
          <w:u w:val="single"/>
        </w:rPr>
        <w:t> </w:t>
      </w:r>
      <w:r>
        <w:rPr>
          <w:rFonts w:cs="Calibri"/>
          <w:b/>
          <w:i/>
          <w:color w:val="000000" w:themeColor="text1"/>
          <w:u w:val="single"/>
        </w:rPr>
        <w:t xml:space="preserve">pour délibérer </w:t>
      </w:r>
      <w:r>
        <w:rPr>
          <w:b/>
          <w:i/>
          <w:color w:val="000000" w:themeColor="text1"/>
          <w:u w:val="single"/>
        </w:rPr>
        <w:t>?</w:t>
      </w:r>
    </w:p>
    <w:p w14:paraId="789DABF0" w14:textId="77777777" w:rsidR="001E01AF" w:rsidRDefault="00AF646F">
      <w:pPr>
        <w:jc w:val="both"/>
        <w:rPr>
          <w:color w:val="000000" w:themeColor="text1"/>
        </w:rPr>
      </w:pPr>
      <w:r>
        <w:rPr>
          <w:color w:val="000000" w:themeColor="text1"/>
        </w:rPr>
        <w:t xml:space="preserve">Au sein des EPCI-FP il convient de distinguer entre </w:t>
      </w:r>
      <w:r>
        <w:rPr>
          <w:b/>
          <w:color w:val="000000" w:themeColor="text1"/>
        </w:rPr>
        <w:t xml:space="preserve">EPCI à fiscalité professionnelle unique (FPU) </w:t>
      </w:r>
      <w:r>
        <w:rPr>
          <w:color w:val="000000" w:themeColor="text1"/>
        </w:rPr>
        <w:t xml:space="preserve">et </w:t>
      </w:r>
      <w:r>
        <w:rPr>
          <w:b/>
          <w:color w:val="000000" w:themeColor="text1"/>
        </w:rPr>
        <w:t>EPCI à fiscalité additionnelle (EPCI à FA)</w:t>
      </w:r>
      <w:r>
        <w:rPr>
          <w:color w:val="000000" w:themeColor="text1"/>
        </w:rPr>
        <w:t xml:space="preserve"> :</w:t>
      </w:r>
    </w:p>
    <w:p w14:paraId="53DA0FA5" w14:textId="77777777" w:rsidR="001E01AF" w:rsidRDefault="00AF646F">
      <w:pPr>
        <w:pStyle w:val="Paragraphedeliste"/>
        <w:numPr>
          <w:ilvl w:val="0"/>
          <w:numId w:val="22"/>
        </w:numPr>
        <w:jc w:val="both"/>
        <w:rPr>
          <w:iCs/>
        </w:rPr>
      </w:pPr>
      <w:r>
        <w:rPr>
          <w:iCs/>
        </w:rPr>
        <w:t xml:space="preserve">S'il s'agit d'un </w:t>
      </w:r>
      <w:r>
        <w:rPr>
          <w:b/>
          <w:bCs/>
          <w:iCs/>
          <w:u w:val="single"/>
        </w:rPr>
        <w:t>EPCI à FPU</w:t>
      </w:r>
      <w:r>
        <w:rPr>
          <w:iCs/>
        </w:rPr>
        <w:t xml:space="preserve"> (article 1609 </w:t>
      </w:r>
      <w:r>
        <w:rPr>
          <w:i/>
          <w:iCs/>
        </w:rPr>
        <w:t>nonies</w:t>
      </w:r>
      <w:r>
        <w:rPr>
          <w:iCs/>
        </w:rPr>
        <w:t xml:space="preserve"> C du CGI et I de l'article 1379-0 bis du CGI)</w:t>
      </w:r>
    </w:p>
    <w:p w14:paraId="2A019977" w14:textId="68415A49" w:rsidR="00CE533C" w:rsidRDefault="00AF646F">
      <w:pPr>
        <w:jc w:val="both"/>
        <w:rPr>
          <w:iCs/>
        </w:rPr>
      </w:pPr>
      <w:r>
        <w:rPr>
          <w:iCs/>
        </w:rPr>
        <w:t>L'EPCI peut délibérer de manière exclusive sur une exonération de CFE pour l’ensemble des communes membres classées en FRR (il se substitue à ses communes membres pour la totalité de cet impôt) mais il ne peut le faire que pour la part additionnelle lui revenant au titre de la TFPB (les communes membres délibérant sur la part leur revenant).</w:t>
      </w:r>
    </w:p>
    <w:p w14:paraId="12759B1B" w14:textId="77777777" w:rsidR="001E01AF" w:rsidRDefault="00AF646F">
      <w:pPr>
        <w:pStyle w:val="Paragraphedeliste"/>
        <w:numPr>
          <w:ilvl w:val="0"/>
          <w:numId w:val="22"/>
        </w:numPr>
        <w:jc w:val="both"/>
        <w:rPr>
          <w:iCs/>
        </w:rPr>
      </w:pPr>
      <w:r>
        <w:rPr>
          <w:iCs/>
        </w:rPr>
        <w:lastRenderedPageBreak/>
        <w:t xml:space="preserve">S'il s'agit d'un </w:t>
      </w:r>
      <w:r>
        <w:rPr>
          <w:b/>
          <w:bCs/>
          <w:iCs/>
          <w:u w:val="single"/>
        </w:rPr>
        <w:t>EPCI à FA</w:t>
      </w:r>
      <w:r>
        <w:rPr>
          <w:iCs/>
        </w:rPr>
        <w:t xml:space="preserve"> (II de l'article 1379 0-bis du CGI)</w:t>
      </w:r>
      <w:r>
        <w:rPr>
          <w:rFonts w:ascii="Calibri" w:hAnsi="Calibri" w:cs="Calibri"/>
          <w:iCs/>
        </w:rPr>
        <w:t> </w:t>
      </w:r>
      <w:r>
        <w:rPr>
          <w:iCs/>
        </w:rPr>
        <w:t xml:space="preserve">: </w:t>
      </w:r>
    </w:p>
    <w:p w14:paraId="44CC0332" w14:textId="77777777" w:rsidR="001E01AF" w:rsidRDefault="00AF646F">
      <w:pPr>
        <w:jc w:val="both"/>
        <w:rPr>
          <w:iCs/>
        </w:rPr>
      </w:pPr>
      <w:r>
        <w:rPr>
          <w:iCs/>
        </w:rPr>
        <w:t>L'EPCI ne délibère que sur la part additionnelle lui revenant au titre de la TFPB et de la CFE (les communes membres délibérant sur la part leur revenant).</w:t>
      </w:r>
    </w:p>
    <w:p w14:paraId="07E89FF8" w14:textId="6B1AFDDE" w:rsidR="004974A9" w:rsidRDefault="00AF646F">
      <w:pPr>
        <w:jc w:val="both"/>
      </w:pPr>
      <w:r>
        <w:rPr>
          <w:iCs/>
        </w:rPr>
        <w:t xml:space="preserve">Toutefois, s’il s’agit d'un </w:t>
      </w:r>
      <w:r>
        <w:rPr>
          <w:bCs/>
          <w:iCs/>
        </w:rPr>
        <w:t>EPCI à fiscalité professionnelle de zone (FPZ)</w:t>
      </w:r>
      <w:r>
        <w:rPr>
          <w:iCs/>
        </w:rPr>
        <w:t xml:space="preserve"> ou d'un </w:t>
      </w:r>
      <w:r>
        <w:rPr>
          <w:bCs/>
          <w:iCs/>
        </w:rPr>
        <w:t>EPCI à fiscalité éolienne unique (FEU)</w:t>
      </w:r>
      <w:r>
        <w:rPr>
          <w:iCs/>
        </w:rPr>
        <w:t>: l'EPCI peut délibérer de manière exclusive sur une exonération de CFE dans la zone d'activités économiques ou sur les éoliennes présentes sur son territoire (se substituant à ses communes membres pour la totalité de cet impôt dans ces cas spécifiques) mais il ne délibère que pour la part additionnelle lui revenant au titre de la TFPB</w:t>
      </w:r>
      <w:r>
        <w:t>.</w:t>
      </w:r>
    </w:p>
    <w:p w14:paraId="058A173A" w14:textId="77777777" w:rsidR="00890327" w:rsidRDefault="00890327">
      <w:pPr>
        <w:jc w:val="both"/>
      </w:pPr>
    </w:p>
    <w:p w14:paraId="635F2D04" w14:textId="37BBC642" w:rsidR="001E01AF" w:rsidRPr="00785099" w:rsidRDefault="00785099" w:rsidP="00B333DE">
      <w:pPr>
        <w:pStyle w:val="Titre4"/>
        <w:numPr>
          <w:ilvl w:val="2"/>
          <w:numId w:val="27"/>
        </w:numPr>
        <w:rPr>
          <w:rFonts w:ascii="Marianne" w:hAnsi="Marianne"/>
          <w:b/>
          <w:u w:val="single"/>
        </w:rPr>
      </w:pPr>
      <w:bookmarkStart w:id="44" w:name="_Toc192844115"/>
      <w:r w:rsidRPr="00785099">
        <w:rPr>
          <w:rFonts w:ascii="Marianne" w:hAnsi="Marianne"/>
          <w:b/>
          <w:color w:val="auto"/>
          <w:u w:val="single"/>
        </w:rPr>
        <w:t xml:space="preserve"> </w:t>
      </w:r>
      <w:bookmarkStart w:id="45" w:name="_Toc192849389"/>
      <w:r w:rsidR="00AF646F" w:rsidRPr="00785099">
        <w:rPr>
          <w:rFonts w:ascii="Marianne" w:hAnsi="Marianne"/>
          <w:b/>
          <w:color w:val="auto"/>
          <w:u w:val="single"/>
        </w:rPr>
        <w:t>Quelles sont les différentes exonérations fiscales applicables en FRR</w:t>
      </w:r>
      <w:r w:rsidR="00AF646F" w:rsidRPr="00785099">
        <w:rPr>
          <w:rFonts w:ascii="Calibri" w:hAnsi="Calibri" w:cs="Calibri"/>
          <w:b/>
          <w:color w:val="auto"/>
          <w:u w:val="single"/>
        </w:rPr>
        <w:t> </w:t>
      </w:r>
      <w:r w:rsidR="00AF646F" w:rsidRPr="00785099">
        <w:rPr>
          <w:rFonts w:ascii="Marianne" w:hAnsi="Marianne"/>
          <w:b/>
          <w:color w:val="auto"/>
          <w:u w:val="single"/>
        </w:rPr>
        <w:t>?</w:t>
      </w:r>
      <w:bookmarkEnd w:id="44"/>
      <w:bookmarkEnd w:id="45"/>
    </w:p>
    <w:p w14:paraId="2610E342" w14:textId="77777777" w:rsidR="004974A9" w:rsidRDefault="004974A9">
      <w:pPr>
        <w:jc w:val="both"/>
        <w:rPr>
          <w:color w:val="000000" w:themeColor="text1"/>
        </w:rPr>
      </w:pPr>
    </w:p>
    <w:p w14:paraId="14BF96C9" w14:textId="42D5FB27" w:rsidR="007F1249" w:rsidRDefault="00AF646F" w:rsidP="00B735DF">
      <w:pPr>
        <w:jc w:val="both"/>
        <w:rPr>
          <w:color w:val="000000" w:themeColor="text1"/>
        </w:rPr>
      </w:pPr>
      <w:r>
        <w:rPr>
          <w:color w:val="000000" w:themeColor="text1"/>
        </w:rPr>
        <w:t>Deux grandes catégories d’exonérations fiscales peuvent être distinguées</w:t>
      </w:r>
      <w:r>
        <w:rPr>
          <w:rFonts w:ascii="Calibri" w:hAnsi="Calibri" w:cs="Calibri"/>
          <w:color w:val="000000" w:themeColor="text1"/>
        </w:rPr>
        <w:t> </w:t>
      </w:r>
      <w:r>
        <w:rPr>
          <w:color w:val="000000" w:themeColor="text1"/>
        </w:rPr>
        <w:t xml:space="preserve">: les exonérations en faveur des entreprises </w:t>
      </w:r>
      <w:r>
        <w:rPr>
          <w:b/>
          <w:i/>
          <w:color w:val="000000" w:themeColor="text1"/>
        </w:rPr>
        <w:t>(a)</w:t>
      </w:r>
      <w:r>
        <w:rPr>
          <w:color w:val="000000" w:themeColor="text1"/>
        </w:rPr>
        <w:t xml:space="preserve"> et celles à destination des autres contribuables </w:t>
      </w:r>
      <w:r>
        <w:rPr>
          <w:b/>
          <w:i/>
          <w:color w:val="000000" w:themeColor="text1"/>
        </w:rPr>
        <w:t>(b)</w:t>
      </w:r>
      <w:r>
        <w:rPr>
          <w:color w:val="000000" w:themeColor="text1"/>
        </w:rPr>
        <w:t>.</w:t>
      </w:r>
    </w:p>
    <w:p w14:paraId="5221A045" w14:textId="77777777" w:rsidR="007F1249" w:rsidRPr="007F1249" w:rsidRDefault="007F1249" w:rsidP="00B735DF">
      <w:pPr>
        <w:pStyle w:val="Paragraphedeliste"/>
        <w:numPr>
          <w:ilvl w:val="0"/>
          <w:numId w:val="44"/>
        </w:numPr>
        <w:jc w:val="both"/>
        <w:rPr>
          <w:b/>
          <w:i/>
          <w:vanish/>
          <w:color w:val="000000" w:themeColor="text1"/>
        </w:rPr>
      </w:pPr>
    </w:p>
    <w:p w14:paraId="11A1D8B5" w14:textId="77777777" w:rsidR="007F1249" w:rsidRPr="007F1249" w:rsidRDefault="007F1249" w:rsidP="00B735DF">
      <w:pPr>
        <w:pStyle w:val="Paragraphedeliste"/>
        <w:numPr>
          <w:ilvl w:val="0"/>
          <w:numId w:val="44"/>
        </w:numPr>
        <w:jc w:val="both"/>
        <w:rPr>
          <w:b/>
          <w:i/>
          <w:vanish/>
          <w:color w:val="000000" w:themeColor="text1"/>
        </w:rPr>
      </w:pPr>
    </w:p>
    <w:p w14:paraId="61AB8299" w14:textId="77777777" w:rsidR="007F1249" w:rsidRPr="007F1249" w:rsidRDefault="007F1249" w:rsidP="00B735DF">
      <w:pPr>
        <w:pStyle w:val="Paragraphedeliste"/>
        <w:numPr>
          <w:ilvl w:val="0"/>
          <w:numId w:val="44"/>
        </w:numPr>
        <w:jc w:val="both"/>
        <w:rPr>
          <w:b/>
          <w:i/>
          <w:vanish/>
          <w:color w:val="000000" w:themeColor="text1"/>
        </w:rPr>
      </w:pPr>
    </w:p>
    <w:p w14:paraId="1817A68F" w14:textId="77777777" w:rsidR="007F1249" w:rsidRPr="007F1249" w:rsidRDefault="007F1249" w:rsidP="00B735DF">
      <w:pPr>
        <w:pStyle w:val="Paragraphedeliste"/>
        <w:numPr>
          <w:ilvl w:val="0"/>
          <w:numId w:val="44"/>
        </w:numPr>
        <w:jc w:val="both"/>
        <w:rPr>
          <w:b/>
          <w:i/>
          <w:vanish/>
          <w:color w:val="000000" w:themeColor="text1"/>
        </w:rPr>
      </w:pPr>
    </w:p>
    <w:p w14:paraId="4199B97E" w14:textId="77777777" w:rsidR="007F1249" w:rsidRPr="007F1249" w:rsidRDefault="007F1249" w:rsidP="00B735DF">
      <w:pPr>
        <w:pStyle w:val="Paragraphedeliste"/>
        <w:numPr>
          <w:ilvl w:val="1"/>
          <w:numId w:val="44"/>
        </w:numPr>
        <w:jc w:val="both"/>
        <w:rPr>
          <w:b/>
          <w:i/>
          <w:vanish/>
          <w:color w:val="000000" w:themeColor="text1"/>
        </w:rPr>
      </w:pPr>
    </w:p>
    <w:p w14:paraId="33AE71F2" w14:textId="77777777" w:rsidR="007F1249" w:rsidRPr="007F1249" w:rsidRDefault="007F1249" w:rsidP="00B735DF">
      <w:pPr>
        <w:pStyle w:val="Paragraphedeliste"/>
        <w:numPr>
          <w:ilvl w:val="1"/>
          <w:numId w:val="44"/>
        </w:numPr>
        <w:jc w:val="both"/>
        <w:rPr>
          <w:b/>
          <w:i/>
          <w:vanish/>
          <w:color w:val="000000" w:themeColor="text1"/>
        </w:rPr>
      </w:pPr>
    </w:p>
    <w:p w14:paraId="19E2B16A" w14:textId="77777777" w:rsidR="007F1249" w:rsidRPr="007F1249" w:rsidRDefault="007F1249" w:rsidP="00B735DF">
      <w:pPr>
        <w:pStyle w:val="Paragraphedeliste"/>
        <w:keepNext/>
        <w:keepLines/>
        <w:numPr>
          <w:ilvl w:val="0"/>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46" w:name="_Toc192844116"/>
      <w:bookmarkStart w:id="47" w:name="_Toc192845556"/>
      <w:bookmarkStart w:id="48" w:name="_Toc192849390"/>
      <w:bookmarkEnd w:id="46"/>
      <w:bookmarkEnd w:id="47"/>
      <w:bookmarkEnd w:id="48"/>
    </w:p>
    <w:p w14:paraId="74818B01" w14:textId="77777777" w:rsidR="007F1249" w:rsidRPr="007F1249" w:rsidRDefault="007F1249" w:rsidP="00B735DF">
      <w:pPr>
        <w:pStyle w:val="Paragraphedeliste"/>
        <w:keepNext/>
        <w:keepLines/>
        <w:numPr>
          <w:ilvl w:val="0"/>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49" w:name="_Toc192844117"/>
      <w:bookmarkStart w:id="50" w:name="_Toc192845557"/>
      <w:bookmarkStart w:id="51" w:name="_Toc192849391"/>
      <w:bookmarkEnd w:id="49"/>
      <w:bookmarkEnd w:id="50"/>
      <w:bookmarkEnd w:id="51"/>
    </w:p>
    <w:p w14:paraId="345E435F" w14:textId="77777777" w:rsidR="007F1249" w:rsidRPr="007F1249" w:rsidRDefault="007F1249" w:rsidP="00B735DF">
      <w:pPr>
        <w:pStyle w:val="Paragraphedeliste"/>
        <w:keepNext/>
        <w:keepLines/>
        <w:numPr>
          <w:ilvl w:val="0"/>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52" w:name="_Toc192844118"/>
      <w:bookmarkStart w:id="53" w:name="_Toc192845558"/>
      <w:bookmarkStart w:id="54" w:name="_Toc192849392"/>
      <w:bookmarkEnd w:id="52"/>
      <w:bookmarkEnd w:id="53"/>
      <w:bookmarkEnd w:id="54"/>
    </w:p>
    <w:p w14:paraId="2C52BFFF" w14:textId="77777777" w:rsidR="007F1249" w:rsidRPr="007F1249" w:rsidRDefault="007F1249" w:rsidP="00B735DF">
      <w:pPr>
        <w:pStyle w:val="Paragraphedeliste"/>
        <w:keepNext/>
        <w:keepLines/>
        <w:numPr>
          <w:ilvl w:val="0"/>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55" w:name="_Toc192844119"/>
      <w:bookmarkStart w:id="56" w:name="_Toc192845559"/>
      <w:bookmarkStart w:id="57" w:name="_Toc192849393"/>
      <w:bookmarkEnd w:id="55"/>
      <w:bookmarkEnd w:id="56"/>
      <w:bookmarkEnd w:id="57"/>
    </w:p>
    <w:p w14:paraId="754089EA" w14:textId="77777777" w:rsidR="007F1249" w:rsidRPr="007F1249" w:rsidRDefault="007F1249" w:rsidP="00B735DF">
      <w:pPr>
        <w:pStyle w:val="Paragraphedeliste"/>
        <w:keepNext/>
        <w:keepLines/>
        <w:numPr>
          <w:ilvl w:val="1"/>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58" w:name="_Toc192844120"/>
      <w:bookmarkStart w:id="59" w:name="_Toc192845560"/>
      <w:bookmarkStart w:id="60" w:name="_Toc192849394"/>
      <w:bookmarkEnd w:id="58"/>
      <w:bookmarkEnd w:id="59"/>
      <w:bookmarkEnd w:id="60"/>
    </w:p>
    <w:p w14:paraId="06720EF1" w14:textId="77777777" w:rsidR="007F1249" w:rsidRPr="007F1249" w:rsidRDefault="007F1249" w:rsidP="00B735DF">
      <w:pPr>
        <w:pStyle w:val="Paragraphedeliste"/>
        <w:keepNext/>
        <w:keepLines/>
        <w:numPr>
          <w:ilvl w:val="1"/>
          <w:numId w:val="45"/>
        </w:numPr>
        <w:spacing w:before="40" w:after="0"/>
        <w:contextualSpacing w:val="0"/>
        <w:outlineLvl w:val="3"/>
        <w:rPr>
          <w:rFonts w:asciiTheme="majorHAnsi" w:eastAsiaTheme="majorEastAsia" w:hAnsiTheme="majorHAnsi" w:cstheme="majorBidi"/>
          <w:i/>
          <w:iCs/>
          <w:vanish/>
          <w:color w:val="2E74B5" w:themeColor="accent1" w:themeShade="BF"/>
        </w:rPr>
      </w:pPr>
      <w:bookmarkStart w:id="61" w:name="_Toc192844121"/>
      <w:bookmarkStart w:id="62" w:name="_Toc192845561"/>
      <w:bookmarkStart w:id="63" w:name="_Toc192849395"/>
      <w:bookmarkEnd w:id="61"/>
      <w:bookmarkEnd w:id="62"/>
      <w:bookmarkEnd w:id="63"/>
    </w:p>
    <w:p w14:paraId="4C421C6F" w14:textId="47F7BF48" w:rsidR="001E01AF" w:rsidRPr="007F1249" w:rsidRDefault="00AF646F" w:rsidP="00B735DF">
      <w:pPr>
        <w:pStyle w:val="Titre4"/>
        <w:numPr>
          <w:ilvl w:val="0"/>
          <w:numId w:val="46"/>
        </w:numPr>
        <w:rPr>
          <w:rFonts w:ascii="Marianne" w:hAnsi="Marianne"/>
          <w:b/>
          <w:u w:val="single"/>
        </w:rPr>
      </w:pPr>
      <w:bookmarkStart w:id="64" w:name="_Toc192844122"/>
      <w:bookmarkStart w:id="65" w:name="_Toc192849396"/>
      <w:r w:rsidRPr="007F1249">
        <w:rPr>
          <w:rFonts w:ascii="Marianne" w:hAnsi="Marianne"/>
          <w:b/>
          <w:color w:val="auto"/>
          <w:u w:val="single"/>
        </w:rPr>
        <w:t>Les exonérations fiscales en faveur des entreprises</w:t>
      </w:r>
      <w:bookmarkEnd w:id="64"/>
      <w:bookmarkEnd w:id="65"/>
    </w:p>
    <w:p w14:paraId="424ACFFA" w14:textId="77777777" w:rsidR="007F1249" w:rsidRDefault="007F1249">
      <w:pPr>
        <w:jc w:val="both"/>
        <w:rPr>
          <w:color w:val="000000" w:themeColor="text1"/>
        </w:rPr>
      </w:pPr>
    </w:p>
    <w:p w14:paraId="1F49A684" w14:textId="0591B7F4" w:rsidR="001E01AF" w:rsidRDefault="00AF646F">
      <w:pPr>
        <w:jc w:val="both"/>
        <w:rPr>
          <w:color w:val="000000" w:themeColor="text1"/>
        </w:rPr>
      </w:pPr>
      <w:r>
        <w:rPr>
          <w:color w:val="000000" w:themeColor="text1"/>
        </w:rPr>
        <w:t>Les entreprises éligibles peuvent bénéficier des exonérations fiscales suivantes</w:t>
      </w:r>
      <w:r>
        <w:rPr>
          <w:rFonts w:ascii="Calibri" w:hAnsi="Calibri" w:cs="Calibri"/>
          <w:color w:val="000000" w:themeColor="text1"/>
        </w:rPr>
        <w:t> </w:t>
      </w:r>
      <w:r>
        <w:rPr>
          <w:color w:val="000000" w:themeColor="text1"/>
        </w:rPr>
        <w:t>:</w:t>
      </w:r>
    </w:p>
    <w:p w14:paraId="6785E7C6" w14:textId="77777777" w:rsidR="001E01AF" w:rsidRDefault="00AF646F">
      <w:pPr>
        <w:pStyle w:val="Paragraphedeliste"/>
        <w:numPr>
          <w:ilvl w:val="0"/>
          <w:numId w:val="2"/>
        </w:numPr>
        <w:jc w:val="both"/>
        <w:rPr>
          <w:color w:val="000000" w:themeColor="text1"/>
        </w:rPr>
      </w:pPr>
      <w:r>
        <w:rPr>
          <w:color w:val="000000" w:themeColor="text1"/>
        </w:rPr>
        <w:t>D’impôt sur les bénéfices (impôt sur le revenu ou sur les sociétés)</w:t>
      </w:r>
      <w:r>
        <w:rPr>
          <w:rStyle w:val="Ancredenotedebasdepage"/>
          <w:color w:val="000000" w:themeColor="text1"/>
        </w:rPr>
        <w:footnoteReference w:id="4"/>
      </w:r>
      <w:r>
        <w:rPr>
          <w:rFonts w:ascii="Calibri" w:hAnsi="Calibri" w:cs="Calibri"/>
          <w:color w:val="000000" w:themeColor="text1"/>
        </w:rPr>
        <w:t> </w:t>
      </w:r>
      <w:r>
        <w:rPr>
          <w:color w:val="000000" w:themeColor="text1"/>
        </w:rPr>
        <w:t>;</w:t>
      </w:r>
    </w:p>
    <w:p w14:paraId="17197E42" w14:textId="77777777" w:rsidR="001E01AF" w:rsidRDefault="00AF646F">
      <w:pPr>
        <w:pStyle w:val="Paragraphedeliste"/>
        <w:numPr>
          <w:ilvl w:val="0"/>
          <w:numId w:val="2"/>
        </w:numPr>
        <w:jc w:val="both"/>
        <w:rPr>
          <w:color w:val="000000" w:themeColor="text1"/>
        </w:rPr>
      </w:pPr>
      <w:r>
        <w:rPr>
          <w:color w:val="000000" w:themeColor="text1"/>
        </w:rPr>
        <w:t>De cotisation foncière des entreprises - CFE (sur délibération de la commune, et de l’EPCI-FP, chacun dans son domaine de compétence)</w:t>
      </w:r>
      <w:r>
        <w:rPr>
          <w:rStyle w:val="Ancredenotedebasdepage"/>
          <w:color w:val="000000" w:themeColor="text1"/>
        </w:rPr>
        <w:footnoteReference w:id="5"/>
      </w:r>
      <w:r>
        <w:rPr>
          <w:color w:val="000000" w:themeColor="text1"/>
        </w:rPr>
        <w:t xml:space="preserve"> ;</w:t>
      </w:r>
    </w:p>
    <w:p w14:paraId="480D6FF6" w14:textId="77777777" w:rsidR="001E01AF" w:rsidRDefault="00AF646F">
      <w:pPr>
        <w:pStyle w:val="Paragraphedeliste"/>
        <w:numPr>
          <w:ilvl w:val="0"/>
          <w:numId w:val="2"/>
        </w:numPr>
        <w:jc w:val="both"/>
        <w:rPr>
          <w:color w:val="000000" w:themeColor="text1"/>
        </w:rPr>
      </w:pPr>
      <w:r>
        <w:rPr>
          <w:color w:val="000000" w:themeColor="text1"/>
        </w:rPr>
        <w:t>De taxe foncière sur les propriétés bâties - TFPB (sur délibération de la commune et de l’EPCI-FP, chacun dans son domaine de compétence)</w:t>
      </w:r>
      <w:r>
        <w:rPr>
          <w:rStyle w:val="Ancredenotedebasdepage"/>
          <w:color w:val="000000" w:themeColor="text1"/>
        </w:rPr>
        <w:footnoteReference w:id="6"/>
      </w:r>
      <w:r>
        <w:rPr>
          <w:rFonts w:ascii="Calibri" w:hAnsi="Calibri" w:cs="Calibri"/>
          <w:color w:val="000000" w:themeColor="text1"/>
        </w:rPr>
        <w:t>.</w:t>
      </w:r>
    </w:p>
    <w:p w14:paraId="4DC0689A" w14:textId="34A755CC" w:rsidR="00A74DF0" w:rsidRDefault="00AF646F">
      <w:pPr>
        <w:jc w:val="both"/>
        <w:rPr>
          <w:color w:val="000000" w:themeColor="text1"/>
        </w:rPr>
      </w:pPr>
      <w:r>
        <w:rPr>
          <w:color w:val="000000" w:themeColor="text1"/>
        </w:rPr>
        <w:t xml:space="preserve">Le nouveau zonage clarifie les dispositifs de soutien en harmonisant les </w:t>
      </w:r>
      <w:r>
        <w:rPr>
          <w:b/>
          <w:color w:val="000000" w:themeColor="text1"/>
        </w:rPr>
        <w:t>durées des exonérations fiscales</w:t>
      </w:r>
      <w:r>
        <w:rPr>
          <w:color w:val="000000" w:themeColor="text1"/>
        </w:rPr>
        <w:t xml:space="preserve">. Ainsi, en FRR et en FRR+, ces exonérations d’IR/IS, de CFE et de TFPB sont applicables </w:t>
      </w:r>
      <w:r>
        <w:rPr>
          <w:b/>
          <w:color w:val="000000" w:themeColor="text1"/>
        </w:rPr>
        <w:t>pendant 5 ans à 100% puis pendant 3 ans de manière dégressive</w:t>
      </w:r>
      <w:r>
        <w:rPr>
          <w:color w:val="000000" w:themeColor="text1"/>
        </w:rPr>
        <w:t xml:space="preserve"> (75</w:t>
      </w:r>
      <w:r>
        <w:rPr>
          <w:rFonts w:ascii="Calibri" w:hAnsi="Calibri" w:cs="Calibri"/>
          <w:color w:val="000000" w:themeColor="text1"/>
        </w:rPr>
        <w:t> </w:t>
      </w:r>
      <w:r>
        <w:rPr>
          <w:color w:val="000000" w:themeColor="text1"/>
        </w:rPr>
        <w:t>%, 50</w:t>
      </w:r>
      <w:r>
        <w:rPr>
          <w:rFonts w:ascii="Calibri" w:hAnsi="Calibri" w:cs="Calibri"/>
          <w:color w:val="000000" w:themeColor="text1"/>
        </w:rPr>
        <w:t> </w:t>
      </w:r>
      <w:r>
        <w:rPr>
          <w:color w:val="000000" w:themeColor="text1"/>
        </w:rPr>
        <w:t>% et 25</w:t>
      </w:r>
      <w:r>
        <w:rPr>
          <w:rFonts w:ascii="Calibri" w:hAnsi="Calibri" w:cs="Calibri"/>
          <w:color w:val="000000" w:themeColor="text1"/>
        </w:rPr>
        <w:t> </w:t>
      </w:r>
      <w:r>
        <w:rPr>
          <w:color w:val="000000" w:themeColor="text1"/>
        </w:rPr>
        <w:t>%).</w:t>
      </w:r>
    </w:p>
    <w:p w14:paraId="12933114" w14:textId="575F2165" w:rsidR="00337BFD" w:rsidRDefault="00337BFD">
      <w:pPr>
        <w:jc w:val="both"/>
        <w:rPr>
          <w:color w:val="000000" w:themeColor="text1"/>
        </w:rPr>
      </w:pPr>
    </w:p>
    <w:p w14:paraId="77910810" w14:textId="7A5F8E21" w:rsidR="00337BFD" w:rsidRDefault="00337BFD">
      <w:pPr>
        <w:jc w:val="both"/>
        <w:rPr>
          <w:color w:val="000000" w:themeColor="text1"/>
        </w:rPr>
      </w:pPr>
    </w:p>
    <w:p w14:paraId="3EDC79BB" w14:textId="247F48B7" w:rsidR="00337BFD" w:rsidRDefault="00337BFD">
      <w:pPr>
        <w:jc w:val="both"/>
        <w:rPr>
          <w:color w:val="000000" w:themeColor="text1"/>
        </w:rPr>
      </w:pPr>
    </w:p>
    <w:p w14:paraId="42156866" w14:textId="77777777" w:rsidR="00337BFD" w:rsidRDefault="00337BFD">
      <w:pPr>
        <w:jc w:val="both"/>
        <w:rPr>
          <w:color w:val="000000" w:themeColor="text1"/>
        </w:rPr>
      </w:pPr>
    </w:p>
    <w:p w14:paraId="54B010F3" w14:textId="77777777" w:rsidR="001E01AF" w:rsidRDefault="00AF646F">
      <w:pPr>
        <w:pBdr>
          <w:top w:val="single" w:sz="4" w:space="1" w:color="000000"/>
          <w:left w:val="single" w:sz="4" w:space="4" w:color="000000"/>
          <w:bottom w:val="single" w:sz="4" w:space="1" w:color="000000"/>
          <w:right w:val="single" w:sz="4" w:space="4" w:color="000000"/>
        </w:pBdr>
        <w:jc w:val="both"/>
        <w:rPr>
          <w:b/>
          <w:i/>
          <w:color w:val="000000" w:themeColor="text1"/>
          <w:u w:val="single"/>
        </w:rPr>
      </w:pPr>
      <w:r>
        <w:rPr>
          <w:b/>
          <w:i/>
          <w:color w:val="000000" w:themeColor="text1"/>
          <w:u w:val="single"/>
        </w:rPr>
        <w:lastRenderedPageBreak/>
        <w:t>Quelle procédure pour les entreprises</w:t>
      </w:r>
      <w:r>
        <w:rPr>
          <w:rFonts w:ascii="Calibri" w:hAnsi="Calibri" w:cs="Calibri"/>
          <w:b/>
          <w:i/>
          <w:color w:val="000000" w:themeColor="text1"/>
          <w:u w:val="single"/>
        </w:rPr>
        <w:t> </w:t>
      </w:r>
      <w:r>
        <w:rPr>
          <w:b/>
          <w:i/>
          <w:color w:val="000000" w:themeColor="text1"/>
          <w:u w:val="single"/>
        </w:rPr>
        <w:t xml:space="preserve">? </w:t>
      </w:r>
    </w:p>
    <w:p w14:paraId="0187128C" w14:textId="77777777" w:rsidR="001E01AF" w:rsidRDefault="00AF646F">
      <w:pPr>
        <w:jc w:val="both"/>
      </w:pPr>
      <w:r>
        <w:rPr>
          <w:b/>
          <w:i/>
        </w:rPr>
        <w:t>Pour les exonérations d’impôt sur les bénéfices</w:t>
      </w:r>
      <w:r>
        <w:t>, l’entreprise n’a pas de démarche spécifique à effectuer, autre que sa déclaration annuelle de résultat.</w:t>
      </w:r>
    </w:p>
    <w:p w14:paraId="35DF3749" w14:textId="77777777" w:rsidR="001E01AF" w:rsidRDefault="00AF646F">
      <w:pPr>
        <w:pStyle w:val="Paragraphedeliste"/>
        <w:numPr>
          <w:ilvl w:val="0"/>
          <w:numId w:val="2"/>
        </w:numPr>
        <w:contextualSpacing w:val="0"/>
        <w:jc w:val="both"/>
      </w:pPr>
      <w:r>
        <w:t>Sous réserve des situations particulières de possibilité d’option pour un autre régime d’exonération, pour être exonérée d'impôt sur les bénéfices, l’entreprise, qui remplit les conditions du dispositif de faveur, doit simplement reporter le montant du bénéfice exonéré, selon que l'entreprise relève du régime du bénéfice réel ou du régime simplifié d'imposition ou qu’elle exerce une activité commerciale ou non commerciale, sur la ligne prévue à cet effet au tableau</w:t>
      </w:r>
      <w:r>
        <w:rPr>
          <w:rFonts w:ascii="Calibri" w:hAnsi="Calibri" w:cs="Calibri"/>
        </w:rPr>
        <w:t> </w:t>
      </w:r>
      <w:r>
        <w:t>2058-A-SD (CERFA n°</w:t>
      </w:r>
      <w:r>
        <w:rPr>
          <w:rFonts w:ascii="Calibri" w:hAnsi="Calibri" w:cs="Calibri"/>
        </w:rPr>
        <w:t> </w:t>
      </w:r>
      <w:r>
        <w:t>15949), 2033-B-SD (CERFA n°</w:t>
      </w:r>
      <w:r>
        <w:rPr>
          <w:rFonts w:ascii="Calibri" w:hAnsi="Calibri" w:cs="Calibri"/>
        </w:rPr>
        <w:t> </w:t>
      </w:r>
      <w:r>
        <w:t>15948) ou 2035-B-SD (CERFA n°</w:t>
      </w:r>
      <w:r>
        <w:rPr>
          <w:rFonts w:ascii="Calibri" w:hAnsi="Calibri" w:cs="Calibri"/>
        </w:rPr>
        <w:t> </w:t>
      </w:r>
      <w:r>
        <w:t>15945) du formulaire de détermination du résultat fiscal. Il est également mentionné dans le cadre approprié du formulaire de déclaration</w:t>
      </w:r>
      <w:r>
        <w:rPr>
          <w:rFonts w:ascii="Calibri" w:hAnsi="Calibri" w:cs="Calibri"/>
        </w:rPr>
        <w:t> </w:t>
      </w:r>
      <w:r>
        <w:t>2065-SD (CERFA n°</w:t>
      </w:r>
      <w:r>
        <w:rPr>
          <w:rFonts w:ascii="Calibri" w:hAnsi="Calibri" w:cs="Calibri"/>
        </w:rPr>
        <w:t> </w:t>
      </w:r>
      <w:r>
        <w:t>11084), de déclaration</w:t>
      </w:r>
      <w:r>
        <w:rPr>
          <w:rFonts w:ascii="Calibri" w:hAnsi="Calibri" w:cs="Calibri"/>
        </w:rPr>
        <w:t> </w:t>
      </w:r>
      <w:r>
        <w:t>2031-SD (CERFA n°</w:t>
      </w:r>
      <w:r>
        <w:rPr>
          <w:rFonts w:ascii="Calibri" w:hAnsi="Calibri" w:cs="Calibri"/>
        </w:rPr>
        <w:t> </w:t>
      </w:r>
      <w:r>
        <w:t>11085) ou de déclaration</w:t>
      </w:r>
      <w:r>
        <w:rPr>
          <w:rFonts w:ascii="Calibri" w:hAnsi="Calibri" w:cs="Calibri"/>
        </w:rPr>
        <w:t> </w:t>
      </w:r>
      <w:r>
        <w:t>2035-SD (CERFA n°</w:t>
      </w:r>
      <w:r>
        <w:rPr>
          <w:rFonts w:ascii="Calibri" w:hAnsi="Calibri" w:cs="Calibri"/>
        </w:rPr>
        <w:t> </w:t>
      </w:r>
      <w:r>
        <w:t>11176).</w:t>
      </w:r>
    </w:p>
    <w:p w14:paraId="4F58CEBA" w14:textId="77777777" w:rsidR="001E01AF" w:rsidRDefault="00AF646F">
      <w:pPr>
        <w:pStyle w:val="Paragraphedeliste"/>
        <w:contextualSpacing w:val="0"/>
        <w:jc w:val="both"/>
      </w:pPr>
      <w:r>
        <w:t>Pour les entreprises qui relèvent du régime des micro-entreprises</w:t>
      </w:r>
      <w:r>
        <w:rPr>
          <w:rStyle w:val="Ancredenotedebasdepage"/>
        </w:rPr>
        <w:footnoteReference w:id="7"/>
      </w:r>
      <w:r>
        <w:t>, le montant du bénéfice exonéré est reporté dans le cadre approprié du formulaire de déclaration</w:t>
      </w:r>
      <w:r>
        <w:rPr>
          <w:rFonts w:ascii="Calibri" w:hAnsi="Calibri" w:cs="Calibri"/>
        </w:rPr>
        <w:t> </w:t>
      </w:r>
      <w:r>
        <w:t>2042-C-PRO (CERFA n°</w:t>
      </w:r>
      <w:r>
        <w:rPr>
          <w:rFonts w:ascii="Calibri" w:hAnsi="Calibri" w:cs="Calibri"/>
        </w:rPr>
        <w:t> </w:t>
      </w:r>
      <w:r>
        <w:t>11222).</w:t>
      </w:r>
    </w:p>
    <w:p w14:paraId="1CFF8765" w14:textId="77777777" w:rsidR="001E01AF" w:rsidRDefault="00AF646F">
      <w:pPr>
        <w:pStyle w:val="Paragraphedeliste"/>
        <w:contextualSpacing w:val="0"/>
        <w:jc w:val="both"/>
      </w:pPr>
      <w:r>
        <w:t xml:space="preserve">Ces formulaires sont disponibles sur le site </w:t>
      </w:r>
      <w:hyperlink r:id="rId9" w:tgtFrame="http://www.impots.gouv.fr">
        <w:r>
          <w:rPr>
            <w:rStyle w:val="LienInternet"/>
          </w:rPr>
          <w:t>www.impots.gouv.fr</w:t>
        </w:r>
      </w:hyperlink>
      <w:r>
        <w:t>.</w:t>
      </w:r>
    </w:p>
    <w:p w14:paraId="11F9EEA8" w14:textId="77777777" w:rsidR="001E01AF" w:rsidRDefault="001E01AF">
      <w:pPr>
        <w:pStyle w:val="Paragraphedeliste"/>
        <w:contextualSpacing w:val="0"/>
        <w:jc w:val="both"/>
      </w:pPr>
    </w:p>
    <w:p w14:paraId="3C456904" w14:textId="77777777" w:rsidR="001E01AF" w:rsidRDefault="00AF646F">
      <w:pPr>
        <w:pStyle w:val="Paragraphedeliste"/>
        <w:numPr>
          <w:ilvl w:val="0"/>
          <w:numId w:val="2"/>
        </w:numPr>
        <w:ind w:left="714" w:hanging="357"/>
        <w:jc w:val="both"/>
      </w:pPr>
      <w:r>
        <w:rPr>
          <w:b/>
          <w:i/>
        </w:rPr>
        <w:t>Pour l’exonération de CFE</w:t>
      </w:r>
      <w:r>
        <w:t>, l’entreprise doit en adresser la demande, dans les délais prévus à l'article 1477 du CGI, au service des impôts dont relève chacun des établissements concernés.</w:t>
      </w:r>
    </w:p>
    <w:p w14:paraId="4DDA8AF4" w14:textId="77777777" w:rsidR="001E01AF" w:rsidRDefault="00AF646F">
      <w:pPr>
        <w:pStyle w:val="Paragraphedeliste"/>
        <w:contextualSpacing w:val="0"/>
        <w:jc w:val="both"/>
      </w:pPr>
      <w:r>
        <w:t>En pratique, l’entreprise qui entend bénéficier de l'exonération doit le préciser :</w:t>
      </w:r>
    </w:p>
    <w:p w14:paraId="54119DF0" w14:textId="77777777" w:rsidR="001E01AF" w:rsidRDefault="00AF646F">
      <w:pPr>
        <w:pStyle w:val="Paragraphedeliste"/>
        <w:numPr>
          <w:ilvl w:val="0"/>
          <w:numId w:val="10"/>
        </w:numPr>
        <w:contextualSpacing w:val="0"/>
        <w:jc w:val="both"/>
      </w:pPr>
      <w:r>
        <w:t>en cas de création d'établissement ou de changement d'exploitant, l'année précédant celle de l'imposition, sur l'imprimé n° 1447-C-SD (CERFA n° 14187) ;</w:t>
      </w:r>
    </w:p>
    <w:p w14:paraId="42E4DE39" w14:textId="77777777" w:rsidR="001E01AF" w:rsidRDefault="00AF646F">
      <w:pPr>
        <w:pStyle w:val="Paragraphedeliste"/>
        <w:numPr>
          <w:ilvl w:val="0"/>
          <w:numId w:val="10"/>
        </w:numPr>
        <w:contextualSpacing w:val="0"/>
        <w:jc w:val="both"/>
      </w:pPr>
      <w:r>
        <w:t>dans les autres cas, sur l'imprimé n° 1447-M-SD (CERFA n° 14031).</w:t>
      </w:r>
    </w:p>
    <w:p w14:paraId="612E08F9" w14:textId="77777777" w:rsidR="001E01AF" w:rsidRDefault="00AF646F">
      <w:pPr>
        <w:pStyle w:val="Paragraphedeliste"/>
        <w:contextualSpacing w:val="0"/>
        <w:jc w:val="both"/>
      </w:pPr>
      <w:r>
        <w:t xml:space="preserve">Les formulaires n° 1447-C-SD et n° 1447-M-SD sont disponibles sur le site </w:t>
      </w:r>
      <w:hyperlink r:id="rId10" w:tgtFrame="http://www.impots.gouv.fr">
        <w:r>
          <w:rPr>
            <w:rStyle w:val="LienInternet"/>
          </w:rPr>
          <w:t>www.impots.gouv.fr</w:t>
        </w:r>
      </w:hyperlink>
      <w:r>
        <w:t>.</w:t>
      </w:r>
    </w:p>
    <w:p w14:paraId="3E1B113F" w14:textId="25FFFB5E" w:rsidR="001E01AF" w:rsidRDefault="00AF646F">
      <w:pPr>
        <w:pStyle w:val="Paragraphedeliste"/>
        <w:contextualSpacing w:val="0"/>
        <w:jc w:val="both"/>
      </w:pPr>
      <w:r>
        <w:t>La demande peut également être formulée sur papier libre en lieu et place des imprimés susvisés.</w:t>
      </w:r>
    </w:p>
    <w:p w14:paraId="685B09B5" w14:textId="77777777" w:rsidR="00337BFD" w:rsidRDefault="00337BFD">
      <w:pPr>
        <w:pStyle w:val="Paragraphedeliste"/>
        <w:contextualSpacing w:val="0"/>
        <w:jc w:val="both"/>
      </w:pPr>
    </w:p>
    <w:p w14:paraId="2F718118" w14:textId="77777777" w:rsidR="001E01AF" w:rsidRDefault="00AF646F">
      <w:pPr>
        <w:pStyle w:val="Paragraphedeliste"/>
        <w:contextualSpacing w:val="0"/>
        <w:jc w:val="both"/>
      </w:pPr>
      <w:r>
        <w:lastRenderedPageBreak/>
        <w:t>A défaut de dépôt de cette demande dans les délais prévus à l'article</w:t>
      </w:r>
      <w:r>
        <w:rPr>
          <w:rFonts w:ascii="Calibri" w:hAnsi="Calibri" w:cs="Calibri"/>
        </w:rPr>
        <w:t> </w:t>
      </w:r>
      <w:r>
        <w:t>1477 du CGI, l'exonération n'est pas accordée au titre de l'année concernée. Toutefois, lorsque la déclaration est souscrite après ces délais, l'exonération s'applique pour la période restant à courir après le 31</w:t>
      </w:r>
      <w:r>
        <w:rPr>
          <w:rFonts w:ascii="Calibri" w:hAnsi="Calibri" w:cs="Calibri"/>
        </w:rPr>
        <w:t xml:space="preserve"> </w:t>
      </w:r>
      <w:r>
        <w:t>décembre de l'année de la souscription.</w:t>
      </w:r>
    </w:p>
    <w:p w14:paraId="30723C14" w14:textId="4E1393D9" w:rsidR="001E01AF" w:rsidRDefault="00AF646F">
      <w:pPr>
        <w:pStyle w:val="Paragraphedeliste"/>
        <w:ind w:left="714"/>
        <w:contextualSpacing w:val="0"/>
        <w:jc w:val="both"/>
      </w:pPr>
      <w:r>
        <w:t>Pour les années suivantes, une déclaration est à souscrire uniquement en cas de modification d'un élément quelconque servant à l'établissement de l'exonération.</w:t>
      </w:r>
    </w:p>
    <w:p w14:paraId="601BB99B" w14:textId="77777777" w:rsidR="001205A9" w:rsidRDefault="001205A9">
      <w:pPr>
        <w:pStyle w:val="Paragraphedeliste"/>
        <w:ind w:left="714"/>
        <w:contextualSpacing w:val="0"/>
        <w:jc w:val="both"/>
      </w:pPr>
    </w:p>
    <w:p w14:paraId="2977943F" w14:textId="77777777" w:rsidR="001E01AF" w:rsidRDefault="00AF646F">
      <w:pPr>
        <w:pStyle w:val="Paragraphedeliste"/>
        <w:numPr>
          <w:ilvl w:val="0"/>
          <w:numId w:val="2"/>
        </w:numPr>
        <w:contextualSpacing w:val="0"/>
        <w:jc w:val="both"/>
      </w:pPr>
      <w:r>
        <w:rPr>
          <w:b/>
          <w:i/>
        </w:rPr>
        <w:t>Pour l’exonération de TFPB</w:t>
      </w:r>
      <w:r>
        <w:t>, le redevable de la TFPB déclare au service des impôts (centre des impôts fonciers ou service des impôts des particuliers) du lieu de situation des biens, avant le 1</w:t>
      </w:r>
      <w:r>
        <w:rPr>
          <w:vertAlign w:val="superscript"/>
        </w:rPr>
        <w:t>er</w:t>
      </w:r>
      <w:r>
        <w:rPr>
          <w:rFonts w:ascii="Calibri" w:hAnsi="Calibri" w:cs="Calibri"/>
        </w:rPr>
        <w:t> </w:t>
      </w:r>
      <w:r>
        <w:t>janvier de l'ann</w:t>
      </w:r>
      <w:r>
        <w:rPr>
          <w:rFonts w:cs="Marianne"/>
        </w:rPr>
        <w:t>é</w:t>
      </w:r>
      <w:r>
        <w:t>e au titre de laquelle l'exon</w:t>
      </w:r>
      <w:r>
        <w:rPr>
          <w:rFonts w:cs="Marianne"/>
        </w:rPr>
        <w:t>é</w:t>
      </w:r>
      <w:r>
        <w:t>ration prend effet et sur un mod</w:t>
      </w:r>
      <w:r>
        <w:rPr>
          <w:rFonts w:cs="Marianne"/>
        </w:rPr>
        <w:t>è</w:t>
      </w:r>
      <w:r>
        <w:t xml:space="preserve">le </w:t>
      </w:r>
      <w:r>
        <w:rPr>
          <w:rFonts w:cs="Marianne"/>
        </w:rPr>
        <w:t>é</w:t>
      </w:r>
      <w:r>
        <w:t xml:space="preserve">tabli par l'administration, les </w:t>
      </w:r>
      <w:r>
        <w:rPr>
          <w:rFonts w:cs="Marianne"/>
        </w:rPr>
        <w:t>é</w:t>
      </w:r>
      <w:r>
        <w:t>l</w:t>
      </w:r>
      <w:r>
        <w:rPr>
          <w:rFonts w:cs="Marianne"/>
        </w:rPr>
        <w:t>é</w:t>
      </w:r>
      <w:r>
        <w:t>ments d'identification des immeubles.</w:t>
      </w:r>
    </w:p>
    <w:p w14:paraId="6B7F0B94" w14:textId="77777777" w:rsidR="001E01AF" w:rsidRDefault="00AF646F">
      <w:pPr>
        <w:pStyle w:val="Paragraphedeliste"/>
        <w:contextualSpacing w:val="0"/>
        <w:jc w:val="both"/>
      </w:pPr>
      <w:r>
        <w:t>Cet imprimé comporte un volet détachable réservé à l'occupant pour qu’il établisse une déclaration sur l’honneur attestant que l’entreprise dont il dépend bénéficie de l’exonération prévue à l’article</w:t>
      </w:r>
      <w:r>
        <w:rPr>
          <w:rFonts w:ascii="Calibri" w:hAnsi="Calibri" w:cs="Calibri"/>
        </w:rPr>
        <w:t> </w:t>
      </w:r>
      <w:r>
        <w:t>44</w:t>
      </w:r>
      <w:r>
        <w:rPr>
          <w:rFonts w:ascii="Calibri" w:hAnsi="Calibri" w:cs="Calibri"/>
        </w:rPr>
        <w:t> </w:t>
      </w:r>
      <w:r>
        <w:rPr>
          <w:i/>
        </w:rPr>
        <w:t>quindecies</w:t>
      </w:r>
      <w:r>
        <w:rPr>
          <w:rFonts w:ascii="Calibri" w:hAnsi="Calibri" w:cs="Calibri"/>
        </w:rPr>
        <w:t> </w:t>
      </w:r>
      <w:r>
        <w:t>A du CGI. L'occupant, après l’avoir complété, communique ce volet au redevable légal de la taxe.</w:t>
      </w:r>
    </w:p>
    <w:p w14:paraId="03EC0CAE" w14:textId="77777777" w:rsidR="001E01AF" w:rsidRDefault="00AF646F">
      <w:pPr>
        <w:pStyle w:val="Paragraphedeliste"/>
        <w:contextualSpacing w:val="0"/>
        <w:jc w:val="both"/>
      </w:pPr>
      <w:r>
        <w:t>A défaut de dépôt de cette demande dans ce délai, l'exonération n'est pas accordée au titre de l'année concernée.</w:t>
      </w:r>
    </w:p>
    <w:p w14:paraId="11AF0F82" w14:textId="77777777" w:rsidR="001E01AF" w:rsidRDefault="00AF646F">
      <w:pPr>
        <w:pStyle w:val="Paragraphedeliste"/>
        <w:contextualSpacing w:val="0"/>
        <w:jc w:val="both"/>
      </w:pPr>
      <w:r>
        <w:t>Pour les années suivantes, une déclaration est à souscrire, avant le 1</w:t>
      </w:r>
      <w:r>
        <w:rPr>
          <w:vertAlign w:val="superscript"/>
        </w:rPr>
        <w:t>er</w:t>
      </w:r>
      <w:r>
        <w:rPr>
          <w:rFonts w:ascii="Calibri" w:hAnsi="Calibri" w:cs="Calibri"/>
        </w:rPr>
        <w:t> </w:t>
      </w:r>
      <w:r>
        <w:t>janvier de l'année au titre de laquelle l'exonération est applicable, uniquement en cas de modification d'un élément quelconque servant à l'établissement de l'exonération.</w:t>
      </w:r>
    </w:p>
    <w:p w14:paraId="03F2ACB9" w14:textId="77777777" w:rsidR="001E01AF" w:rsidRDefault="001E01AF">
      <w:pPr>
        <w:jc w:val="both"/>
        <w:rPr>
          <w:color w:val="000000" w:themeColor="text1"/>
        </w:rPr>
      </w:pPr>
    </w:p>
    <w:p w14:paraId="0FD8D50E" w14:textId="77777777" w:rsidR="001E01AF" w:rsidRPr="00D64108" w:rsidRDefault="00AF646F" w:rsidP="00D64108">
      <w:pPr>
        <w:pStyle w:val="Titre4"/>
        <w:numPr>
          <w:ilvl w:val="0"/>
          <w:numId w:val="46"/>
        </w:numPr>
        <w:jc w:val="both"/>
        <w:rPr>
          <w:rFonts w:ascii="Marianne" w:hAnsi="Marianne"/>
          <w:b/>
          <w:color w:val="auto"/>
          <w:u w:val="single"/>
        </w:rPr>
      </w:pPr>
      <w:bookmarkStart w:id="66" w:name="_Toc192849397"/>
      <w:r w:rsidRPr="00D64108">
        <w:rPr>
          <w:rFonts w:ascii="Marianne" w:hAnsi="Marianne"/>
          <w:b/>
          <w:color w:val="auto"/>
          <w:u w:val="single"/>
        </w:rPr>
        <w:t>Qu’en est-il des dispositifs d’exonérations fiscales complémentaires en faveur des autres contribuables</w:t>
      </w:r>
      <w:r w:rsidRPr="00D64108">
        <w:rPr>
          <w:rFonts w:ascii="Calibri" w:hAnsi="Calibri" w:cs="Calibri"/>
          <w:b/>
          <w:color w:val="auto"/>
          <w:u w:val="single"/>
        </w:rPr>
        <w:t> </w:t>
      </w:r>
      <w:r w:rsidRPr="00D64108">
        <w:rPr>
          <w:rFonts w:ascii="Marianne" w:hAnsi="Marianne"/>
          <w:b/>
          <w:color w:val="auto"/>
          <w:u w:val="single"/>
        </w:rPr>
        <w:t>?</w:t>
      </w:r>
      <w:bookmarkEnd w:id="66"/>
    </w:p>
    <w:p w14:paraId="2DE3AACD" w14:textId="77777777" w:rsidR="00D64108" w:rsidRDefault="00D64108">
      <w:pPr>
        <w:jc w:val="both"/>
      </w:pPr>
    </w:p>
    <w:p w14:paraId="7F8B9ECC" w14:textId="1895A66A" w:rsidR="004A67EC" w:rsidRDefault="00AF646F">
      <w:pPr>
        <w:jc w:val="both"/>
      </w:pPr>
      <w:r>
        <w:t>Outre les trois principales exonérations fiscales précitées (IR/IS, CFE, TFPB) en faveur des entreprises, des dispositifs fiscaux complémentaires à destination d’autres contribuables, sont également prévus en FRR/FRR+, parmi lesquels, entre autres :</w:t>
      </w:r>
    </w:p>
    <w:p w14:paraId="146D11ED" w14:textId="77777777" w:rsidR="001E01AF" w:rsidRDefault="00AF646F">
      <w:pPr>
        <w:pStyle w:val="Paragraphedeliste"/>
        <w:numPr>
          <w:ilvl w:val="0"/>
          <w:numId w:val="2"/>
        </w:numPr>
        <w:jc w:val="both"/>
      </w:pPr>
      <w:r>
        <w:t xml:space="preserve">pour favoriser l’installation de jeunes agriculteurs, les immeubles qu’ils acquièrent bénéficient d’un droit d’enregistrement réduit (article 1594 F </w:t>
      </w:r>
      <w:r>
        <w:rPr>
          <w:i/>
          <w:iCs/>
        </w:rPr>
        <w:t xml:space="preserve">quinquies </w:t>
      </w:r>
      <w:r>
        <w:t xml:space="preserve">du CGI). Cette disposition est de droit et ne nécessite donc pas de délibération ; </w:t>
      </w:r>
    </w:p>
    <w:p w14:paraId="375569E5" w14:textId="77777777" w:rsidR="001E01AF" w:rsidRDefault="001E01AF">
      <w:pPr>
        <w:pStyle w:val="Paragraphedeliste"/>
        <w:jc w:val="both"/>
      </w:pPr>
    </w:p>
    <w:p w14:paraId="62CC43E4" w14:textId="77777777" w:rsidR="001E01AF" w:rsidRDefault="00AF646F">
      <w:pPr>
        <w:pStyle w:val="Paragraphedeliste"/>
        <w:numPr>
          <w:ilvl w:val="0"/>
          <w:numId w:val="2"/>
        </w:numPr>
        <w:jc w:val="both"/>
      </w:pPr>
      <w:r>
        <w:lastRenderedPageBreak/>
        <w:t xml:space="preserve">sur délibération des communes et des EPCI-FP concernés, une exonération de taxe foncière sur les propriétés bâties (TFPB) peut être accordée en faveur des hôtels, des meublés de tourisme et des chambres d’hôtes (article 1383 E </w:t>
      </w:r>
      <w:r>
        <w:rPr>
          <w:i/>
          <w:iCs/>
        </w:rPr>
        <w:t xml:space="preserve">bis </w:t>
      </w:r>
      <w:r>
        <w:t>du CGI)</w:t>
      </w:r>
      <w:r>
        <w:rPr>
          <w:rStyle w:val="Ancredenotedebasdepage"/>
        </w:rPr>
        <w:footnoteReference w:id="8"/>
      </w:r>
      <w:r>
        <w:t xml:space="preserve"> ; </w:t>
      </w:r>
    </w:p>
    <w:p w14:paraId="51556987" w14:textId="77777777" w:rsidR="001E01AF" w:rsidRDefault="001E01AF">
      <w:pPr>
        <w:pStyle w:val="Paragraphedeliste"/>
      </w:pPr>
    </w:p>
    <w:p w14:paraId="54BE48DE" w14:textId="3C1606A8" w:rsidR="001E01AF" w:rsidRDefault="00AF646F">
      <w:pPr>
        <w:pStyle w:val="Paragraphedeliste"/>
        <w:numPr>
          <w:ilvl w:val="0"/>
          <w:numId w:val="2"/>
        </w:numPr>
        <w:jc w:val="both"/>
      </w:pPr>
      <w:r>
        <w:t>sur délibération des communes, une exonération de taxe d’habitation sur les résidences secondaires peut être accordée en faveur des meublés de tourisme et des chambres d’hôtes (article 1407 - III / article 1414 bis</w:t>
      </w:r>
      <w:r>
        <w:rPr>
          <w:i/>
        </w:rPr>
        <w:t xml:space="preserve"> </w:t>
      </w:r>
      <w:r>
        <w:t>du CGI)</w:t>
      </w:r>
      <w:r>
        <w:rPr>
          <w:rStyle w:val="Ancredenotedebasdepage"/>
        </w:rPr>
        <w:footnoteReference w:id="9"/>
      </w:r>
      <w:r>
        <w:rPr>
          <w:rFonts w:ascii="Calibri" w:hAnsi="Calibri" w:cs="Calibri"/>
        </w:rPr>
        <w:t> </w:t>
      </w:r>
      <w:r>
        <w:t>;</w:t>
      </w:r>
    </w:p>
    <w:p w14:paraId="340A3ACB" w14:textId="77777777" w:rsidR="00337BFD" w:rsidRDefault="00337BFD" w:rsidP="00337BFD">
      <w:pPr>
        <w:pStyle w:val="Paragraphedeliste"/>
        <w:jc w:val="both"/>
      </w:pPr>
    </w:p>
    <w:p w14:paraId="108C9374" w14:textId="77777777" w:rsidR="001E01AF" w:rsidRDefault="00AF646F">
      <w:pPr>
        <w:pStyle w:val="Paragraphedeliste"/>
        <w:numPr>
          <w:ilvl w:val="0"/>
          <w:numId w:val="2"/>
        </w:numPr>
        <w:jc w:val="both"/>
      </w:pPr>
      <w:r>
        <w:t>sur délibération des communes et des EPCI-FP concernés, une exonération de cotisation foncière des entreprises (CFE) peut être accordée en faveur des médecins et des auxiliaires médicaux, exerçant à titre libéral (article 1464 D du CGI)</w:t>
      </w:r>
      <w:r>
        <w:rPr>
          <w:rStyle w:val="Ancredenotedebasdepage"/>
        </w:rPr>
        <w:footnoteReference w:id="10"/>
      </w:r>
      <w:r>
        <w:rPr>
          <w:rFonts w:ascii="Calibri" w:hAnsi="Calibri" w:cs="Calibri"/>
        </w:rPr>
        <w:t> </w:t>
      </w:r>
      <w:r>
        <w:t>;</w:t>
      </w:r>
    </w:p>
    <w:p w14:paraId="7C019590" w14:textId="77777777" w:rsidR="001E01AF" w:rsidRDefault="001E01AF">
      <w:pPr>
        <w:pStyle w:val="Paragraphedeliste"/>
      </w:pPr>
    </w:p>
    <w:p w14:paraId="63D3C001" w14:textId="77777777" w:rsidR="001E01AF" w:rsidRDefault="00AF646F">
      <w:pPr>
        <w:pStyle w:val="Paragraphedeliste"/>
        <w:numPr>
          <w:ilvl w:val="0"/>
          <w:numId w:val="2"/>
        </w:numPr>
        <w:jc w:val="both"/>
      </w:pPr>
      <w:r>
        <w:t>pour développer l’offre de logement aux particuliers, deux mesures sont prévues : a) sur délibération des communes et des EPCI-FP concernés, les logements locatifs améliorés avec l’aide financière de l’Agence nationale de l’habitat (ANAH) peuvent bénéficier d’une exonération de taxe foncière sur les propriétés bâties pendant une durée de 15 ans (article 1383 E du CGI)</w:t>
      </w:r>
      <w:r>
        <w:rPr>
          <w:rStyle w:val="Ancredenotedebasdepage"/>
        </w:rPr>
        <w:footnoteReference w:id="11"/>
      </w:r>
      <w:r>
        <w:t xml:space="preserve"> ; b) sur délibération des départements concernés, les immeubles affectés à l’habitation et les terrains ou locaux à usage de garages sont susceptibles de bénéficier d’un abattement sur l’assiette des droits de mutation (article 1594 F </w:t>
      </w:r>
      <w:r>
        <w:rPr>
          <w:i/>
          <w:iCs/>
        </w:rPr>
        <w:t xml:space="preserve">ter </w:t>
      </w:r>
      <w:r>
        <w:t>du CGI)</w:t>
      </w:r>
      <w:r>
        <w:rPr>
          <w:rFonts w:ascii="Calibri" w:hAnsi="Calibri" w:cs="Calibri"/>
        </w:rPr>
        <w:t> ;</w:t>
      </w:r>
    </w:p>
    <w:p w14:paraId="4D79C898" w14:textId="77777777" w:rsidR="001E01AF" w:rsidRDefault="001E01AF">
      <w:pPr>
        <w:pStyle w:val="Paragraphedeliste"/>
      </w:pPr>
    </w:p>
    <w:p w14:paraId="54114E14" w14:textId="1E8549B0" w:rsidR="001E01AF" w:rsidRDefault="00AF646F">
      <w:pPr>
        <w:pStyle w:val="Paragraphedeliste"/>
        <w:numPr>
          <w:ilvl w:val="0"/>
          <w:numId w:val="2"/>
        </w:numPr>
        <w:jc w:val="both"/>
      </w:pPr>
      <w:r>
        <w:t>pour favoriser l’activité commerciale, la reprise d’un fonds de commerce ou de clientèle (pour un montant n’excédant pas 107</w:t>
      </w:r>
      <w:r>
        <w:rPr>
          <w:rFonts w:ascii="Calibri" w:hAnsi="Calibri" w:cs="Calibri"/>
        </w:rPr>
        <w:t> </w:t>
      </w:r>
      <w:r>
        <w:t>000 €) bénéficie d’une exonération des droits de mutation (article 722 bis du CGI). Cette disposition est de droit et ne nécessite donc pas de délibération.</w:t>
      </w:r>
    </w:p>
    <w:p w14:paraId="7A68A00D" w14:textId="48B92237" w:rsidR="00C416BD" w:rsidRDefault="00C416BD" w:rsidP="00C416BD">
      <w:pPr>
        <w:jc w:val="both"/>
      </w:pPr>
    </w:p>
    <w:p w14:paraId="01627293" w14:textId="77777777" w:rsidR="00C416BD" w:rsidRDefault="00C416BD" w:rsidP="00C416BD">
      <w:pPr>
        <w:jc w:val="both"/>
      </w:pPr>
    </w:p>
    <w:p w14:paraId="36ED2D75" w14:textId="77777777" w:rsidR="001E01AF" w:rsidRDefault="001E01AF">
      <w:pPr>
        <w:pStyle w:val="Paragraphedeliste"/>
        <w:jc w:val="both"/>
      </w:pPr>
    </w:p>
    <w:p w14:paraId="6314C05E" w14:textId="77777777" w:rsidR="005F279E" w:rsidRPr="005F279E" w:rsidRDefault="005F279E" w:rsidP="005F279E">
      <w:pPr>
        <w:pStyle w:val="Paragraphedeliste"/>
        <w:keepNext/>
        <w:keepLines/>
        <w:numPr>
          <w:ilvl w:val="0"/>
          <w:numId w:val="25"/>
        </w:numPr>
        <w:spacing w:before="40" w:after="0"/>
        <w:contextualSpacing w:val="0"/>
        <w:outlineLvl w:val="3"/>
        <w:rPr>
          <w:rFonts w:asciiTheme="majorHAnsi" w:eastAsiaTheme="majorEastAsia" w:hAnsiTheme="majorHAnsi" w:cstheme="majorBidi"/>
          <w:i/>
          <w:iCs/>
          <w:vanish/>
          <w:color w:val="2E74B5" w:themeColor="accent1" w:themeShade="BF"/>
        </w:rPr>
      </w:pPr>
      <w:bookmarkStart w:id="67" w:name="_Toc192845564"/>
      <w:bookmarkStart w:id="68" w:name="_Toc192849398"/>
      <w:bookmarkEnd w:id="67"/>
      <w:bookmarkEnd w:id="68"/>
    </w:p>
    <w:p w14:paraId="5404061A" w14:textId="77777777" w:rsidR="005F279E" w:rsidRPr="005F279E" w:rsidRDefault="005F279E" w:rsidP="005F279E">
      <w:pPr>
        <w:pStyle w:val="Paragraphedeliste"/>
        <w:keepNext/>
        <w:keepLines/>
        <w:numPr>
          <w:ilvl w:val="1"/>
          <w:numId w:val="25"/>
        </w:numPr>
        <w:spacing w:before="40" w:after="0"/>
        <w:contextualSpacing w:val="0"/>
        <w:outlineLvl w:val="3"/>
        <w:rPr>
          <w:rFonts w:asciiTheme="majorHAnsi" w:eastAsiaTheme="majorEastAsia" w:hAnsiTheme="majorHAnsi" w:cstheme="majorBidi"/>
          <w:i/>
          <w:iCs/>
          <w:vanish/>
          <w:color w:val="2E74B5" w:themeColor="accent1" w:themeShade="BF"/>
        </w:rPr>
      </w:pPr>
      <w:bookmarkStart w:id="69" w:name="_Toc192845565"/>
      <w:bookmarkStart w:id="70" w:name="_Toc192849399"/>
      <w:bookmarkEnd w:id="69"/>
      <w:bookmarkEnd w:id="70"/>
    </w:p>
    <w:p w14:paraId="58376302" w14:textId="77777777" w:rsidR="005F279E" w:rsidRPr="005F279E" w:rsidRDefault="005F279E" w:rsidP="005F279E">
      <w:pPr>
        <w:pStyle w:val="Paragraphedeliste"/>
        <w:keepNext/>
        <w:keepLines/>
        <w:numPr>
          <w:ilvl w:val="2"/>
          <w:numId w:val="25"/>
        </w:numPr>
        <w:spacing w:before="40" w:after="0"/>
        <w:contextualSpacing w:val="0"/>
        <w:outlineLvl w:val="3"/>
        <w:rPr>
          <w:rFonts w:asciiTheme="majorHAnsi" w:eastAsiaTheme="majorEastAsia" w:hAnsiTheme="majorHAnsi" w:cstheme="majorBidi"/>
          <w:i/>
          <w:iCs/>
          <w:vanish/>
          <w:color w:val="2E74B5" w:themeColor="accent1" w:themeShade="BF"/>
        </w:rPr>
      </w:pPr>
      <w:bookmarkStart w:id="71" w:name="_Toc192845566"/>
      <w:bookmarkStart w:id="72" w:name="_Toc192849400"/>
      <w:bookmarkEnd w:id="71"/>
      <w:bookmarkEnd w:id="72"/>
    </w:p>
    <w:p w14:paraId="668E7BF1" w14:textId="77777777" w:rsidR="005F279E" w:rsidRPr="005F279E" w:rsidRDefault="005F279E" w:rsidP="005F279E">
      <w:pPr>
        <w:pStyle w:val="Paragraphedeliste"/>
        <w:keepNext/>
        <w:keepLines/>
        <w:numPr>
          <w:ilvl w:val="2"/>
          <w:numId w:val="25"/>
        </w:numPr>
        <w:spacing w:before="40" w:after="0"/>
        <w:contextualSpacing w:val="0"/>
        <w:outlineLvl w:val="3"/>
        <w:rPr>
          <w:rFonts w:asciiTheme="majorHAnsi" w:eastAsiaTheme="majorEastAsia" w:hAnsiTheme="majorHAnsi" w:cstheme="majorBidi"/>
          <w:i/>
          <w:iCs/>
          <w:vanish/>
          <w:color w:val="2E74B5" w:themeColor="accent1" w:themeShade="BF"/>
        </w:rPr>
      </w:pPr>
      <w:bookmarkStart w:id="73" w:name="_Toc192845567"/>
      <w:bookmarkStart w:id="74" w:name="_Toc192849401"/>
      <w:bookmarkEnd w:id="73"/>
      <w:bookmarkEnd w:id="74"/>
    </w:p>
    <w:p w14:paraId="43ED5E7B" w14:textId="5EF7BE87" w:rsidR="001E01AF" w:rsidRPr="005F279E" w:rsidRDefault="00AF646F" w:rsidP="00E86B24">
      <w:pPr>
        <w:pStyle w:val="Titre4"/>
        <w:numPr>
          <w:ilvl w:val="2"/>
          <w:numId w:val="25"/>
        </w:numPr>
        <w:ind w:left="1072" w:hanging="505"/>
        <w:jc w:val="both"/>
        <w:rPr>
          <w:rFonts w:ascii="Marianne" w:hAnsi="Marianne"/>
          <w:b/>
          <w:color w:val="auto"/>
          <w:u w:val="single"/>
        </w:rPr>
      </w:pPr>
      <w:bookmarkStart w:id="75" w:name="_Toc192849402"/>
      <w:r w:rsidRPr="005F279E">
        <w:rPr>
          <w:rFonts w:ascii="Marianne" w:hAnsi="Marianne"/>
          <w:b/>
          <w:color w:val="auto"/>
          <w:u w:val="single"/>
        </w:rPr>
        <w:t xml:space="preserve">Quel est le délai dans lequel les collectivités </w:t>
      </w:r>
      <w:r w:rsidR="00471E5C">
        <w:rPr>
          <w:rFonts w:ascii="Marianne" w:hAnsi="Marianne"/>
          <w:b/>
          <w:color w:val="auto"/>
          <w:u w:val="single"/>
        </w:rPr>
        <w:t xml:space="preserve">zonées </w:t>
      </w:r>
      <w:r w:rsidRPr="005F279E">
        <w:rPr>
          <w:rFonts w:ascii="Marianne" w:hAnsi="Marianne"/>
          <w:b/>
          <w:color w:val="auto"/>
          <w:u w:val="single"/>
        </w:rPr>
        <w:t>peuvent délibérer pour ouvrir droit aux exonérations d’impôts locaux</w:t>
      </w:r>
      <w:r w:rsidRPr="005F279E">
        <w:rPr>
          <w:rFonts w:ascii="Calibri" w:hAnsi="Calibri" w:cs="Calibri"/>
          <w:b/>
          <w:color w:val="auto"/>
          <w:u w:val="single"/>
        </w:rPr>
        <w:t> </w:t>
      </w:r>
      <w:r w:rsidRPr="005F279E">
        <w:rPr>
          <w:rFonts w:ascii="Marianne" w:hAnsi="Marianne" w:cs="Calibri"/>
          <w:b/>
          <w:color w:val="auto"/>
          <w:u w:val="single"/>
        </w:rPr>
        <w:t xml:space="preserve">en FRR </w:t>
      </w:r>
      <w:r w:rsidRPr="005F279E">
        <w:rPr>
          <w:rFonts w:ascii="Marianne" w:hAnsi="Marianne"/>
          <w:b/>
          <w:color w:val="auto"/>
          <w:u w:val="single"/>
        </w:rPr>
        <w:t>?</w:t>
      </w:r>
      <w:bookmarkEnd w:id="75"/>
    </w:p>
    <w:p w14:paraId="044E5AAC" w14:textId="77777777" w:rsidR="001E01AF" w:rsidRDefault="001E01AF">
      <w:pPr>
        <w:pStyle w:val="Paragraphedeliste"/>
        <w:jc w:val="both"/>
        <w:rPr>
          <w:color w:val="000000" w:themeColor="text1"/>
          <w:u w:val="single"/>
        </w:rPr>
      </w:pPr>
    </w:p>
    <w:p w14:paraId="4CF91E9F" w14:textId="77777777" w:rsidR="001E01AF" w:rsidRDefault="00AF646F">
      <w:pPr>
        <w:pStyle w:val="Paragraphedeliste"/>
        <w:numPr>
          <w:ilvl w:val="0"/>
          <w:numId w:val="28"/>
        </w:numPr>
        <w:jc w:val="both"/>
        <w:rPr>
          <w:b/>
          <w:i/>
          <w:color w:val="000000" w:themeColor="text1"/>
          <w:u w:val="single"/>
        </w:rPr>
      </w:pPr>
      <w:r>
        <w:rPr>
          <w:b/>
          <w:i/>
          <w:color w:val="000000" w:themeColor="text1"/>
          <w:u w:val="single"/>
        </w:rPr>
        <w:t>Principes généraux</w:t>
      </w:r>
    </w:p>
    <w:p w14:paraId="0C18A510" w14:textId="77777777" w:rsidR="001E01AF" w:rsidRPr="00587177" w:rsidRDefault="00AF646F">
      <w:pPr>
        <w:jc w:val="both"/>
        <w:rPr>
          <w:color w:val="000000" w:themeColor="text1"/>
        </w:rPr>
      </w:pPr>
      <w:r w:rsidRPr="00587177">
        <w:rPr>
          <w:color w:val="000000" w:themeColor="text1"/>
        </w:rPr>
        <w:t>Les collectivités zonées FRR doivent prendre une délibération si elles souhaitent exonérer d’impôts locaux</w:t>
      </w:r>
      <w:r w:rsidRPr="00587177">
        <w:rPr>
          <w:rFonts w:ascii="Calibri" w:hAnsi="Calibri" w:cs="Calibri"/>
          <w:color w:val="000000" w:themeColor="text1"/>
        </w:rPr>
        <w:t> </w:t>
      </w:r>
      <w:r w:rsidRPr="00587177">
        <w:rPr>
          <w:color w:val="000000" w:themeColor="text1"/>
        </w:rPr>
        <w:t>les entreprises s’installant sur leur territoire.</w:t>
      </w:r>
    </w:p>
    <w:p w14:paraId="28810E7C" w14:textId="3DC8EBD3" w:rsidR="001E01AF" w:rsidRDefault="00AF646F">
      <w:pPr>
        <w:jc w:val="both"/>
        <w:rPr>
          <w:color w:val="000000" w:themeColor="text1"/>
        </w:rPr>
      </w:pPr>
      <w:r>
        <w:rPr>
          <w:b/>
          <w:color w:val="000000" w:themeColor="text1"/>
        </w:rPr>
        <w:t>Une seule délibération est nécessaire</w:t>
      </w:r>
      <w:r>
        <w:rPr>
          <w:rFonts w:ascii="Calibri" w:hAnsi="Calibri" w:cs="Calibri"/>
          <w:color w:val="000000" w:themeColor="text1"/>
        </w:rPr>
        <w:t> </w:t>
      </w:r>
      <w:r>
        <w:rPr>
          <w:color w:val="000000" w:themeColor="text1"/>
        </w:rPr>
        <w:t>: elle produit son effet pour les années à venir, tant qu’elle n’a pas été rapportée ou mo</w:t>
      </w:r>
      <w:r w:rsidR="008C4899">
        <w:rPr>
          <w:color w:val="000000" w:themeColor="text1"/>
        </w:rPr>
        <w:t>difiée</w:t>
      </w:r>
      <w:r>
        <w:rPr>
          <w:color w:val="000000" w:themeColor="text1"/>
        </w:rPr>
        <w:t>.</w:t>
      </w:r>
    </w:p>
    <w:p w14:paraId="7A15834F" w14:textId="77777777" w:rsidR="001E01AF" w:rsidRDefault="00AF646F">
      <w:pPr>
        <w:jc w:val="both"/>
        <w:rPr>
          <w:color w:val="000000" w:themeColor="text1"/>
        </w:rPr>
      </w:pPr>
      <w:r>
        <w:rPr>
          <w:color w:val="000000" w:themeColor="text1"/>
        </w:rPr>
        <w:t>Par ailleurs, en raison du principe de l’annualité des impôts locaux, les entreprises créées ou reprises en année N pourront bénéficier d’une exonération à compter de l’année N+1 (pour une durée totale de 8 ans).</w:t>
      </w:r>
    </w:p>
    <w:p w14:paraId="265B6CDB" w14:textId="77777777" w:rsidR="001E01AF" w:rsidRDefault="00AF646F">
      <w:pPr>
        <w:jc w:val="both"/>
        <w:rPr>
          <w:color w:val="000000" w:themeColor="text1"/>
        </w:rPr>
      </w:pPr>
      <w:r>
        <w:rPr>
          <w:b/>
          <w:color w:val="000000" w:themeColor="text1"/>
          <w:u w:val="single"/>
        </w:rPr>
        <w:t>Pour rappel</w:t>
      </w:r>
      <w:r>
        <w:rPr>
          <w:rFonts w:ascii="Calibri" w:hAnsi="Calibri" w:cs="Calibri"/>
          <w:b/>
          <w:color w:val="000000" w:themeColor="text1"/>
          <w:u w:val="single"/>
        </w:rPr>
        <w:t> </w:t>
      </w:r>
      <w:r>
        <w:rPr>
          <w:b/>
          <w:color w:val="000000" w:themeColor="text1"/>
          <w:u w:val="single"/>
        </w:rPr>
        <w:t xml:space="preserve">: </w:t>
      </w:r>
      <w:r>
        <w:rPr>
          <w:color w:val="000000" w:themeColor="text1"/>
        </w:rPr>
        <w:t>les délibérations des collectivités sont exécutoires de plein droit</w:t>
      </w:r>
      <w:r>
        <w:rPr>
          <w:rFonts w:ascii="Calibri" w:hAnsi="Calibri" w:cs="Calibri"/>
          <w:color w:val="000000" w:themeColor="text1"/>
        </w:rPr>
        <w:t> </w:t>
      </w:r>
      <w:r>
        <w:rPr>
          <w:color w:val="000000" w:themeColor="text1"/>
        </w:rPr>
        <w:t xml:space="preserve">: </w:t>
      </w:r>
    </w:p>
    <w:p w14:paraId="1C6BCA7A" w14:textId="77777777" w:rsidR="001E01AF" w:rsidRDefault="00AF646F">
      <w:pPr>
        <w:pStyle w:val="Paragraphedeliste"/>
        <w:numPr>
          <w:ilvl w:val="0"/>
          <w:numId w:val="2"/>
        </w:numPr>
        <w:jc w:val="both"/>
        <w:rPr>
          <w:color w:val="000000" w:themeColor="text1"/>
        </w:rPr>
      </w:pPr>
      <w:r>
        <w:rPr>
          <w:color w:val="000000" w:themeColor="text1"/>
        </w:rPr>
        <w:t xml:space="preserve">dès qu’elles ont été régulièrement publiées ou affichées ; </w:t>
      </w:r>
    </w:p>
    <w:p w14:paraId="6E4377A5" w14:textId="77777777" w:rsidR="001E01AF" w:rsidRDefault="00AF646F">
      <w:pPr>
        <w:pStyle w:val="Paragraphedeliste"/>
        <w:numPr>
          <w:ilvl w:val="0"/>
          <w:numId w:val="2"/>
        </w:numPr>
        <w:jc w:val="both"/>
        <w:rPr>
          <w:color w:val="000000" w:themeColor="text1"/>
        </w:rPr>
      </w:pPr>
      <w:r>
        <w:rPr>
          <w:color w:val="000000" w:themeColor="text1"/>
        </w:rPr>
        <w:t>et dès qu’elles ont été transmises au préfet ou à son délégué dans l'arrondissement.</w:t>
      </w:r>
    </w:p>
    <w:p w14:paraId="2D51E02A" w14:textId="77777777" w:rsidR="001E01AF" w:rsidRDefault="00AF646F">
      <w:pPr>
        <w:jc w:val="both"/>
        <w:rPr>
          <w:iCs/>
        </w:rPr>
      </w:pPr>
      <w:r>
        <w:rPr>
          <w:iCs/>
        </w:rPr>
        <w:t>En conséquence, au-delà de leur publication, il importe également aux collectivités de transmettre le plus tôt possible les délibérations concernées au représentant de l'Etat, après leur adoption, afin de leur permettre d'acquérir leur caractère exécutoire.</w:t>
      </w:r>
    </w:p>
    <w:p w14:paraId="345542BA" w14:textId="2FABA32F" w:rsidR="00467DBF" w:rsidRPr="002C0062" w:rsidRDefault="00AF646F">
      <w:pPr>
        <w:jc w:val="both"/>
        <w:rPr>
          <w:color w:val="000000" w:themeColor="text1"/>
        </w:rPr>
      </w:pPr>
      <w:r w:rsidRPr="002C0062">
        <w:rPr>
          <w:color w:val="000000" w:themeColor="text1"/>
        </w:rPr>
        <w:t>Par ailleurs, les collectivités sont soumises à la notification de leurs délibérations aux services fiscaux, dans un délai de 15 jours après la date limite prévue pour leur adoption, par l’intermédiaire des services préfectorau</w:t>
      </w:r>
      <w:r w:rsidR="00A86EBB" w:rsidRPr="002C0062">
        <w:rPr>
          <w:color w:val="000000" w:themeColor="text1"/>
        </w:rPr>
        <w:t>x (articles 1639 A bis du CGI).</w:t>
      </w:r>
    </w:p>
    <w:p w14:paraId="5C999E70" w14:textId="4442C06A" w:rsidR="001E01AF" w:rsidRPr="002C0062" w:rsidRDefault="00AF646F">
      <w:pPr>
        <w:pStyle w:val="Paragraphedeliste"/>
        <w:numPr>
          <w:ilvl w:val="0"/>
          <w:numId w:val="28"/>
        </w:numPr>
        <w:jc w:val="both"/>
        <w:rPr>
          <w:b/>
          <w:i/>
          <w:color w:val="000000" w:themeColor="text1"/>
          <w:u w:val="single"/>
        </w:rPr>
      </w:pPr>
      <w:r w:rsidRPr="002C0062">
        <w:rPr>
          <w:b/>
          <w:i/>
          <w:color w:val="000000" w:themeColor="text1"/>
          <w:u w:val="single"/>
        </w:rPr>
        <w:t xml:space="preserve">Délais applicables aux communes classées en FRR </w:t>
      </w:r>
      <w:r w:rsidR="00C22AAF" w:rsidRPr="002C0062">
        <w:rPr>
          <w:b/>
          <w:i/>
          <w:color w:val="000000" w:themeColor="text1"/>
          <w:u w:val="single"/>
        </w:rPr>
        <w:t>conformément à</w:t>
      </w:r>
      <w:r w:rsidRPr="002C0062">
        <w:rPr>
          <w:b/>
          <w:i/>
          <w:color w:val="000000" w:themeColor="text1"/>
          <w:u w:val="single"/>
        </w:rPr>
        <w:t xml:space="preserve"> la loi de finances pour 2024</w:t>
      </w:r>
    </w:p>
    <w:p w14:paraId="0C6015DE" w14:textId="2243CFBF" w:rsidR="001E01AF" w:rsidRPr="00BD0961" w:rsidRDefault="00AF646F">
      <w:pPr>
        <w:jc w:val="both"/>
        <w:rPr>
          <w:color w:val="000000" w:themeColor="text1"/>
        </w:rPr>
      </w:pPr>
      <w:r w:rsidRPr="002C0062">
        <w:rPr>
          <w:color w:val="000000" w:themeColor="text1"/>
        </w:rPr>
        <w:t>Sont ici concernées les 17</w:t>
      </w:r>
      <w:r w:rsidRPr="002C0062">
        <w:rPr>
          <w:rFonts w:ascii="Calibri" w:hAnsi="Calibri" w:cs="Calibri"/>
          <w:color w:val="000000" w:themeColor="text1"/>
        </w:rPr>
        <w:t> </w:t>
      </w:r>
      <w:r w:rsidR="00083598" w:rsidRPr="002C0062">
        <w:rPr>
          <w:color w:val="000000" w:themeColor="text1"/>
        </w:rPr>
        <w:t>717 communes classées en FRR en application de</w:t>
      </w:r>
      <w:r w:rsidRPr="002C0062">
        <w:rPr>
          <w:color w:val="000000" w:themeColor="text1"/>
        </w:rPr>
        <w:t xml:space="preserve"> la loi de finances pour 2024, mentionnées au point 3.1. de la présente FAQ.</w:t>
      </w:r>
    </w:p>
    <w:p w14:paraId="5D339DB1" w14:textId="1A4330DF" w:rsidR="001E01AF" w:rsidRDefault="00AF646F">
      <w:pPr>
        <w:pStyle w:val="Paragraphedeliste"/>
        <w:numPr>
          <w:ilvl w:val="0"/>
          <w:numId w:val="20"/>
        </w:numPr>
        <w:jc w:val="both"/>
        <w:rPr>
          <w:color w:val="000000" w:themeColor="text1"/>
          <w:u w:val="single"/>
        </w:rPr>
      </w:pPr>
      <w:r w:rsidRPr="00C74DC5">
        <w:rPr>
          <w:b/>
          <w:i/>
          <w:color w:val="000000" w:themeColor="text1"/>
          <w:u w:val="single"/>
        </w:rPr>
        <w:t>Les exonérations de TFPB (article 1383 K du CGI) et de CFE (article 1466 G du CGI) en faveur des entreprises</w:t>
      </w:r>
      <w:r>
        <w:rPr>
          <w:rFonts w:ascii="Calibri" w:hAnsi="Calibri" w:cs="Calibri"/>
          <w:color w:val="000000" w:themeColor="text1"/>
        </w:rPr>
        <w:t> </w:t>
      </w:r>
      <w:r>
        <w:rPr>
          <w:color w:val="000000" w:themeColor="text1"/>
        </w:rPr>
        <w:t>:</w:t>
      </w:r>
    </w:p>
    <w:p w14:paraId="20358A69" w14:textId="77777777" w:rsidR="001E01AF" w:rsidRDefault="00AF646F">
      <w:pPr>
        <w:jc w:val="both"/>
        <w:rPr>
          <w:color w:val="000000" w:themeColor="text1"/>
        </w:rPr>
      </w:pPr>
      <w:r w:rsidRPr="009D6FA4">
        <w:rPr>
          <w:b/>
          <w:color w:val="000000" w:themeColor="text1"/>
        </w:rPr>
        <w:t>Trois cas de figure</w:t>
      </w:r>
      <w:r>
        <w:rPr>
          <w:color w:val="000000" w:themeColor="text1"/>
        </w:rPr>
        <w:t xml:space="preserve"> se présentent</w:t>
      </w:r>
      <w:r>
        <w:rPr>
          <w:rFonts w:ascii="Calibri" w:hAnsi="Calibri" w:cs="Calibri"/>
          <w:color w:val="000000" w:themeColor="text1"/>
        </w:rPr>
        <w:t> </w:t>
      </w:r>
      <w:r>
        <w:rPr>
          <w:color w:val="000000" w:themeColor="text1"/>
        </w:rPr>
        <w:t>:</w:t>
      </w:r>
    </w:p>
    <w:p w14:paraId="410BA254" w14:textId="77777777" w:rsidR="001E01AF" w:rsidRDefault="00AF646F">
      <w:pPr>
        <w:pStyle w:val="Paragraphedeliste"/>
        <w:numPr>
          <w:ilvl w:val="0"/>
          <w:numId w:val="29"/>
        </w:numPr>
        <w:jc w:val="both"/>
        <w:rPr>
          <w:color w:val="000000" w:themeColor="text1"/>
          <w:u w:val="single"/>
        </w:rPr>
      </w:pPr>
      <w:r>
        <w:rPr>
          <w:color w:val="000000" w:themeColor="text1"/>
          <w:u w:val="single"/>
        </w:rPr>
        <w:t xml:space="preserve">les collectivités pouvaient délibérer dans un délai de 90 jours à compter de la publication de l’arrêté de classement en FRR, soit </w:t>
      </w:r>
      <w:r>
        <w:rPr>
          <w:b/>
          <w:color w:val="000000" w:themeColor="text1"/>
          <w:u w:val="single"/>
        </w:rPr>
        <w:t>jusqu’au 18 septembre 2024 (inclus)</w:t>
      </w:r>
      <w:r>
        <w:rPr>
          <w:rStyle w:val="Ancredenotedebasdepage"/>
          <w:color w:val="000000" w:themeColor="text1"/>
          <w:u w:val="single"/>
        </w:rPr>
        <w:footnoteReference w:id="12"/>
      </w:r>
      <w:r>
        <w:rPr>
          <w:color w:val="000000" w:themeColor="text1"/>
        </w:rPr>
        <w:t xml:space="preserve"> pour que les entreprises créées ou reprises à compter du 1</w:t>
      </w:r>
      <w:r>
        <w:rPr>
          <w:color w:val="000000" w:themeColor="text1"/>
          <w:vertAlign w:val="superscript"/>
        </w:rPr>
        <w:t>er</w:t>
      </w:r>
      <w:r>
        <w:rPr>
          <w:rFonts w:ascii="Calibri" w:hAnsi="Calibri" w:cs="Calibri"/>
          <w:color w:val="000000" w:themeColor="text1"/>
        </w:rPr>
        <w:t> </w:t>
      </w:r>
      <w:r>
        <w:rPr>
          <w:color w:val="000000" w:themeColor="text1"/>
        </w:rPr>
        <w:t>juillet</w:t>
      </w:r>
      <w:r>
        <w:rPr>
          <w:rFonts w:ascii="Calibri" w:hAnsi="Calibri" w:cs="Calibri"/>
          <w:color w:val="000000" w:themeColor="text1"/>
        </w:rPr>
        <w:t> </w:t>
      </w:r>
      <w:r>
        <w:rPr>
          <w:color w:val="000000" w:themeColor="text1"/>
        </w:rPr>
        <w:t xml:space="preserve">2024 puissent bénéficier des exonérations de CFE et de TFPB </w:t>
      </w:r>
      <w:r>
        <w:rPr>
          <w:b/>
          <w:color w:val="000000" w:themeColor="text1"/>
        </w:rPr>
        <w:t>dès 2025</w:t>
      </w:r>
      <w:r>
        <w:rPr>
          <w:color w:val="000000" w:themeColor="text1"/>
        </w:rPr>
        <w:t>.</w:t>
      </w:r>
    </w:p>
    <w:p w14:paraId="765F5597" w14:textId="112DE911" w:rsidR="001E01AF" w:rsidRDefault="00AF646F">
      <w:pPr>
        <w:jc w:val="both"/>
        <w:rPr>
          <w:color w:val="000000" w:themeColor="text1"/>
          <w:u w:val="single"/>
        </w:rPr>
      </w:pPr>
      <w:r>
        <w:rPr>
          <w:color w:val="000000" w:themeColor="text1"/>
        </w:rPr>
        <w:lastRenderedPageBreak/>
        <w:t>Il s’agit d’un dispositif spécifiquement prévu en loi de finances pour 2024 qui permet aux entreprises créées ou reprises à compter de l’entrée en vigueur du nouveau zonage FRR (1</w:t>
      </w:r>
      <w:r>
        <w:rPr>
          <w:color w:val="000000" w:themeColor="text1"/>
          <w:vertAlign w:val="superscript"/>
        </w:rPr>
        <w:t>er</w:t>
      </w:r>
      <w:r>
        <w:rPr>
          <w:color w:val="000000" w:themeColor="text1"/>
        </w:rPr>
        <w:t xml:space="preserve"> juillet 2024) sur un territoire classé,</w:t>
      </w:r>
      <w:r w:rsidR="00C16D4E">
        <w:rPr>
          <w:color w:val="000000" w:themeColor="text1"/>
        </w:rPr>
        <w:t xml:space="preserve"> de bénéficier des exonérations</w:t>
      </w:r>
      <w:r>
        <w:rPr>
          <w:color w:val="000000" w:themeColor="text1"/>
        </w:rPr>
        <w:t xml:space="preserve"> d’impôts locaux (F du XX de l’article 73 de la loi de finances pour 2024). </w:t>
      </w:r>
    </w:p>
    <w:p w14:paraId="42638355" w14:textId="77777777" w:rsidR="001E01AF" w:rsidRDefault="00AF646F">
      <w:pPr>
        <w:pStyle w:val="Paragraphedeliste"/>
        <w:numPr>
          <w:ilvl w:val="0"/>
          <w:numId w:val="29"/>
        </w:numPr>
        <w:jc w:val="both"/>
        <w:rPr>
          <w:color w:val="000000" w:themeColor="text1"/>
          <w:u w:val="single"/>
        </w:rPr>
      </w:pPr>
      <w:r>
        <w:rPr>
          <w:color w:val="000000" w:themeColor="text1"/>
          <w:u w:val="single"/>
        </w:rPr>
        <w:t xml:space="preserve">les collectivités pouvaient délibérer </w:t>
      </w:r>
      <w:r>
        <w:rPr>
          <w:b/>
          <w:color w:val="000000" w:themeColor="text1"/>
          <w:u w:val="single"/>
        </w:rPr>
        <w:t>entre le 19 septembre 2024 et avant le 1</w:t>
      </w:r>
      <w:r>
        <w:rPr>
          <w:b/>
          <w:color w:val="000000" w:themeColor="text1"/>
          <w:u w:val="single"/>
          <w:vertAlign w:val="superscript"/>
        </w:rPr>
        <w:t>er</w:t>
      </w:r>
      <w:r>
        <w:rPr>
          <w:b/>
          <w:color w:val="000000" w:themeColor="text1"/>
          <w:u w:val="single"/>
        </w:rPr>
        <w:t xml:space="preserve"> octobre 2024</w:t>
      </w:r>
      <w:r>
        <w:rPr>
          <w:rStyle w:val="Ancredenotedebasdepage"/>
          <w:color w:val="000000" w:themeColor="text1"/>
          <w:u w:val="single"/>
        </w:rPr>
        <w:footnoteReference w:id="13"/>
      </w:r>
      <w:r>
        <w:rPr>
          <w:color w:val="000000" w:themeColor="text1"/>
        </w:rPr>
        <w:t xml:space="preserve"> pour que les entreprises créées ou reprises à compter de</w:t>
      </w:r>
      <w:r>
        <w:rPr>
          <w:rFonts w:ascii="Calibri" w:hAnsi="Calibri" w:cs="Calibri"/>
          <w:color w:val="000000" w:themeColor="text1"/>
        </w:rPr>
        <w:t> </w:t>
      </w:r>
      <w:r>
        <w:rPr>
          <w:color w:val="000000" w:themeColor="text1"/>
        </w:rPr>
        <w:t xml:space="preserve">2025 puissent bénéficier des exonérations de CFE et de TFPB dès </w:t>
      </w:r>
      <w:r>
        <w:rPr>
          <w:b/>
          <w:color w:val="000000" w:themeColor="text1"/>
        </w:rPr>
        <w:t>2026</w:t>
      </w:r>
      <w:r>
        <w:rPr>
          <w:color w:val="000000" w:themeColor="text1"/>
        </w:rPr>
        <w:t>.</w:t>
      </w:r>
    </w:p>
    <w:p w14:paraId="7EB228EB" w14:textId="77777777" w:rsidR="001E01AF" w:rsidRDefault="00AF646F">
      <w:pPr>
        <w:jc w:val="both"/>
        <w:rPr>
          <w:color w:val="000000" w:themeColor="text1"/>
        </w:rPr>
      </w:pPr>
      <w:r>
        <w:rPr>
          <w:color w:val="000000" w:themeColor="text1"/>
        </w:rPr>
        <w:t>La délibération est applicable aux entreprises créées ou reprises dès 2025, sur un territoire classé en FRR, qui pourront ainsi bénéficier, à compter de 2026, des exonérations d’impôts locaux attachées à ce zonage. La délibération vaudra aussi pour les entreprises créées ou reprises en 2026 (exonérations d’impôts locaux à compter de 2027), en 2027 (exonérations à compter de 2028), etc.</w:t>
      </w:r>
    </w:p>
    <w:p w14:paraId="13D8C5CC" w14:textId="77777777" w:rsidR="001E01AF" w:rsidRDefault="00AF646F">
      <w:pPr>
        <w:pStyle w:val="Paragraphedeliste"/>
        <w:numPr>
          <w:ilvl w:val="0"/>
          <w:numId w:val="29"/>
        </w:numPr>
        <w:jc w:val="both"/>
        <w:rPr>
          <w:color w:val="000000" w:themeColor="text1"/>
          <w:u w:val="single"/>
        </w:rPr>
      </w:pPr>
      <w:r>
        <w:rPr>
          <w:color w:val="000000" w:themeColor="text1"/>
          <w:u w:val="single"/>
        </w:rPr>
        <w:t xml:space="preserve">les collectivités peuvent délibérer </w:t>
      </w:r>
      <w:r>
        <w:rPr>
          <w:b/>
          <w:color w:val="000000" w:themeColor="text1"/>
          <w:u w:val="single"/>
        </w:rPr>
        <w:t>avant le 1</w:t>
      </w:r>
      <w:r>
        <w:rPr>
          <w:b/>
          <w:color w:val="000000" w:themeColor="text1"/>
          <w:u w:val="single"/>
          <w:vertAlign w:val="superscript"/>
        </w:rPr>
        <w:t>er</w:t>
      </w:r>
      <w:r>
        <w:rPr>
          <w:b/>
          <w:color w:val="000000" w:themeColor="text1"/>
          <w:u w:val="single"/>
        </w:rPr>
        <w:t xml:space="preserve"> octobre des années suivantes</w:t>
      </w:r>
      <w:r>
        <w:rPr>
          <w:color w:val="000000" w:themeColor="text1"/>
          <w:u w:val="single"/>
        </w:rPr>
        <w:t xml:space="preserve"> (2025, 2026, etc.)</w:t>
      </w:r>
    </w:p>
    <w:p w14:paraId="7E28D17D" w14:textId="77777777" w:rsidR="001E01AF" w:rsidRDefault="00AF646F">
      <w:pPr>
        <w:jc w:val="both"/>
        <w:rPr>
          <w:color w:val="000000" w:themeColor="text1"/>
        </w:rPr>
      </w:pPr>
      <w:r>
        <w:rPr>
          <w:color w:val="000000" w:themeColor="text1"/>
        </w:rPr>
        <w:t>Si les collectivités concernées n’ont pas encore délibéré, elles peuvent toujours y procéder avant le 1</w:t>
      </w:r>
      <w:r>
        <w:rPr>
          <w:color w:val="000000" w:themeColor="text1"/>
          <w:vertAlign w:val="superscript"/>
        </w:rPr>
        <w:t>er</w:t>
      </w:r>
      <w:r>
        <w:rPr>
          <w:color w:val="000000" w:themeColor="text1"/>
        </w:rPr>
        <w:t xml:space="preserve"> octobre de l’année N.</w:t>
      </w:r>
    </w:p>
    <w:p w14:paraId="7EF992F4" w14:textId="77777777" w:rsidR="001E01AF" w:rsidRDefault="00AF646F">
      <w:pPr>
        <w:jc w:val="both"/>
        <w:rPr>
          <w:color w:val="000000" w:themeColor="text1"/>
        </w:rPr>
      </w:pPr>
      <w:r>
        <w:rPr>
          <w:b/>
          <w:color w:val="000000" w:themeColor="text1"/>
        </w:rPr>
        <w:t>Pour l’année en cours, les collectivités peuvent ainsi délibérer avant le 1</w:t>
      </w:r>
      <w:r>
        <w:rPr>
          <w:b/>
          <w:color w:val="000000" w:themeColor="text1"/>
          <w:vertAlign w:val="superscript"/>
        </w:rPr>
        <w:t>er</w:t>
      </w:r>
      <w:r>
        <w:rPr>
          <w:b/>
          <w:color w:val="000000" w:themeColor="text1"/>
        </w:rPr>
        <w:t xml:space="preserve"> octobre 2025</w:t>
      </w:r>
      <w:r>
        <w:rPr>
          <w:rFonts w:ascii="Calibri" w:hAnsi="Calibri" w:cs="Calibri"/>
          <w:b/>
          <w:color w:val="000000" w:themeColor="text1"/>
        </w:rPr>
        <w:t> </w:t>
      </w:r>
      <w:r>
        <w:rPr>
          <w:color w:val="000000" w:themeColor="text1"/>
        </w:rPr>
        <w:t>: la délibération sera applicable aux entreprises créées ou reprises en 2026 qui pourront bénéficier d’exonérations de CFE et de TFPB à compter de 2027 (cette même délibération étant également applicable aux entreprises créées en 2027 pour des exonérations à compter de 2028, etc.).</w:t>
      </w:r>
    </w:p>
    <w:p w14:paraId="4787A63B" w14:textId="799B4A92" w:rsidR="001E01AF" w:rsidRDefault="00AF646F">
      <w:pPr>
        <w:jc w:val="both"/>
        <w:rPr>
          <w:color w:val="000000" w:themeColor="text1"/>
        </w:rPr>
      </w:pPr>
      <w:r>
        <w:rPr>
          <w:color w:val="000000" w:themeColor="text1"/>
        </w:rPr>
        <w:t>En l’état du droit, les collectivités peuvent délibérer jusqu’en 2028 pour exonérer les entreprises créées ou reprises en 2029.</w:t>
      </w:r>
    </w:p>
    <w:p w14:paraId="3A010E8F" w14:textId="5588CF01" w:rsidR="001E01AF" w:rsidRPr="00EC0BAF" w:rsidRDefault="003C0B8B">
      <w:pPr>
        <w:pStyle w:val="Paragraphedeliste"/>
        <w:numPr>
          <w:ilvl w:val="0"/>
          <w:numId w:val="20"/>
        </w:numPr>
        <w:jc w:val="both"/>
        <w:rPr>
          <w:rFonts w:cs="Arial"/>
          <w:u w:val="single"/>
        </w:rPr>
      </w:pPr>
      <w:r>
        <w:rPr>
          <w:rFonts w:cs="Arial"/>
          <w:noProof/>
          <w:lang w:eastAsia="fr-FR"/>
        </w:rPr>
        <mc:AlternateContent>
          <mc:Choice Requires="wps">
            <w:drawing>
              <wp:anchor distT="0" distB="0" distL="114300" distR="114300" simplePos="0" relativeHeight="251663360" behindDoc="0" locked="0" layoutInCell="1" allowOverlap="1" wp14:anchorId="50A1B8DF" wp14:editId="78CB8F62">
                <wp:simplePos x="0" y="0"/>
                <wp:positionH relativeFrom="column">
                  <wp:posOffset>-808990</wp:posOffset>
                </wp:positionH>
                <wp:positionV relativeFrom="paragraph">
                  <wp:posOffset>-1270</wp:posOffset>
                </wp:positionV>
                <wp:extent cx="808990" cy="294005"/>
                <wp:effectExtent l="0" t="0" r="10160" b="10795"/>
                <wp:wrapNone/>
                <wp:docPr id="8" name="Rectangle à coins arrondis 8"/>
                <wp:cNvGraphicFramePr/>
                <a:graphic xmlns:a="http://schemas.openxmlformats.org/drawingml/2006/main">
                  <a:graphicData uri="http://schemas.microsoft.com/office/word/2010/wordprocessingShape">
                    <wps:wsp>
                      <wps:cNvSpPr/>
                      <wps:spPr>
                        <a:xfrm>
                          <a:off x="0" y="0"/>
                          <a:ext cx="808990" cy="294005"/>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86171" w14:textId="77777777" w:rsidR="002C0062" w:rsidRPr="00774AB8" w:rsidRDefault="002C0062" w:rsidP="002C0062">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1B8DF" id="Rectangle à coins arrondis 8" o:spid="_x0000_s1030" style="position:absolute;left:0;text-align:left;margin-left:-63.7pt;margin-top:-.1pt;width:63.7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" fillcolor="#b4c6e7 [1304]" strokecolor="black [3213]" strokeweight="1pt">
                <v:stroke joinstyle="miter"/>
                <v:textbox>
                  <w:txbxContent>
                    <w:p w14:paraId="15686171" w14:textId="77777777" w:rsidR="002C0062" w:rsidRPr="00774AB8" w:rsidRDefault="002C0062" w:rsidP="002C0062">
                      <w:pPr>
                        <w:jc w:val="center"/>
                        <w:rPr>
                          <w:b/>
                        </w:rPr>
                      </w:pPr>
                      <w:r w:rsidRPr="00774AB8">
                        <w:rPr>
                          <w:b/>
                          <w:sz w:val="20"/>
                        </w:rPr>
                        <w:t>Nouve</w:t>
                      </w:r>
                      <w:r w:rsidRPr="00774AB8">
                        <w:rPr>
                          <w:b/>
                        </w:rPr>
                        <w:t>au</w:t>
                      </w:r>
                    </w:p>
                  </w:txbxContent>
                </v:textbox>
              </v:roundrect>
            </w:pict>
          </mc:Fallback>
        </mc:AlternateContent>
      </w:r>
      <w:r w:rsidR="00AF646F" w:rsidRPr="00EC0BAF">
        <w:rPr>
          <w:b/>
          <w:i/>
          <w:color w:val="000000" w:themeColor="text1"/>
          <w:u w:val="single"/>
        </w:rPr>
        <w:t>Les exonérations d’impôts locaux en faveur des autres contribuables</w:t>
      </w:r>
      <w:r w:rsidR="00AF646F" w:rsidRPr="00EC0BAF">
        <w:rPr>
          <w:rFonts w:ascii="Calibri" w:hAnsi="Calibri" w:cs="Calibri"/>
          <w:b/>
          <w:i/>
          <w:color w:val="000000" w:themeColor="text1"/>
          <w:u w:val="single"/>
        </w:rPr>
        <w:t> </w:t>
      </w:r>
      <w:r w:rsidR="00AF646F" w:rsidRPr="00EC0BAF">
        <w:rPr>
          <w:b/>
          <w:i/>
          <w:color w:val="000000" w:themeColor="text1"/>
          <w:u w:val="single"/>
        </w:rPr>
        <w:t>:</w:t>
      </w:r>
    </w:p>
    <w:p w14:paraId="559857B8" w14:textId="77777777" w:rsidR="001E01AF" w:rsidRPr="00EC0BAF" w:rsidRDefault="001E01AF">
      <w:pPr>
        <w:pStyle w:val="Paragraphedeliste"/>
        <w:jc w:val="both"/>
        <w:rPr>
          <w:rFonts w:cs="Arial"/>
        </w:rPr>
      </w:pPr>
    </w:p>
    <w:p w14:paraId="506A0A88" w14:textId="77777777" w:rsidR="001E01AF" w:rsidRPr="00EC0BAF" w:rsidRDefault="00AF646F">
      <w:pPr>
        <w:pStyle w:val="Paragraphedeliste"/>
        <w:numPr>
          <w:ilvl w:val="0"/>
          <w:numId w:val="31"/>
        </w:numPr>
        <w:jc w:val="both"/>
        <w:rPr>
          <w:rFonts w:cs="Arial"/>
          <w:i/>
        </w:rPr>
      </w:pPr>
      <w:r w:rsidRPr="00EC0BAF">
        <w:rPr>
          <w:rFonts w:cs="Arial"/>
          <w:b/>
          <w:i/>
        </w:rPr>
        <w:t xml:space="preserve">Exonérations de TFPB (article 1383 E bis du CGI) et de taxe d'habitation (article 1407- III / article 1414 bis du CGI) </w:t>
      </w:r>
      <w:r w:rsidRPr="00EC0BAF">
        <w:rPr>
          <w:rFonts w:cs="Arial"/>
          <w:i/>
        </w:rPr>
        <w:t>sur les hôtels (pour la TFPB), meublés de tourisme ou chambres d'hôtes</w:t>
      </w:r>
    </w:p>
    <w:p w14:paraId="0F22D156" w14:textId="77777777" w:rsidR="001E01AF" w:rsidRPr="00EC0BAF" w:rsidRDefault="00AF646F">
      <w:pPr>
        <w:jc w:val="both"/>
        <w:rPr>
          <w:rFonts w:cs="Arial"/>
        </w:rPr>
      </w:pPr>
      <w:r w:rsidRPr="00EC0BAF">
        <w:rPr>
          <w:rFonts w:cs="Arial"/>
        </w:rPr>
        <w:t xml:space="preserve">Les communes et EPCI-FP peuvent délibérer </w:t>
      </w:r>
      <w:r w:rsidRPr="00EC0BAF">
        <w:rPr>
          <w:rFonts w:cs="Arial"/>
          <w:b/>
        </w:rPr>
        <w:t>avant le 1</w:t>
      </w:r>
      <w:r w:rsidRPr="00EC0BAF">
        <w:rPr>
          <w:rFonts w:cs="Arial"/>
          <w:b/>
          <w:vertAlign w:val="superscript"/>
        </w:rPr>
        <w:t>er</w:t>
      </w:r>
      <w:r w:rsidRPr="00EC0BAF">
        <w:rPr>
          <w:rFonts w:cs="Arial"/>
          <w:b/>
        </w:rPr>
        <w:t xml:space="preserve"> octobre de l’année N</w:t>
      </w:r>
      <w:r w:rsidRPr="00EC0BAF">
        <w:rPr>
          <w:rFonts w:ascii="Calibri" w:hAnsi="Calibri" w:cs="Calibri"/>
        </w:rPr>
        <w:t> </w:t>
      </w:r>
      <w:r w:rsidRPr="00EC0BAF">
        <w:rPr>
          <w:rFonts w:cs="Arial"/>
        </w:rPr>
        <w:t>:</w:t>
      </w:r>
    </w:p>
    <w:p w14:paraId="45C5801F" w14:textId="77777777" w:rsidR="001E01AF" w:rsidRPr="00EC0BAF" w:rsidRDefault="00AF646F">
      <w:pPr>
        <w:pStyle w:val="Paragraphedeliste"/>
        <w:numPr>
          <w:ilvl w:val="0"/>
          <w:numId w:val="29"/>
        </w:numPr>
        <w:jc w:val="both"/>
        <w:rPr>
          <w:rFonts w:cs="Arial"/>
        </w:rPr>
      </w:pPr>
      <w:r w:rsidRPr="00EC0BAF">
        <w:rPr>
          <w:rFonts w:cs="Arial"/>
        </w:rPr>
        <w:t>Délibération avant le 1</w:t>
      </w:r>
      <w:r w:rsidRPr="00EC0BAF">
        <w:rPr>
          <w:rFonts w:cs="Arial"/>
          <w:vertAlign w:val="superscript"/>
        </w:rPr>
        <w:t>er</w:t>
      </w:r>
      <w:r w:rsidRPr="00EC0BAF">
        <w:rPr>
          <w:rFonts w:cs="Arial"/>
        </w:rPr>
        <w:t xml:space="preserve"> octobre 2024 pour une application des exonérations à compter de 2025</w:t>
      </w:r>
      <w:r w:rsidRPr="00EC0BAF">
        <w:rPr>
          <w:rFonts w:ascii="Calibri" w:hAnsi="Calibri" w:cs="Calibri"/>
        </w:rPr>
        <w:t> </w:t>
      </w:r>
      <w:r w:rsidRPr="00EC0BAF">
        <w:rPr>
          <w:rFonts w:cs="Arial"/>
        </w:rPr>
        <w:t>;</w:t>
      </w:r>
    </w:p>
    <w:p w14:paraId="44D101B9" w14:textId="3A0B1795" w:rsidR="001E01AF" w:rsidRPr="00EC0BAF" w:rsidRDefault="00C74A9D">
      <w:pPr>
        <w:pStyle w:val="Paragraphedeliste"/>
        <w:numPr>
          <w:ilvl w:val="0"/>
          <w:numId w:val="29"/>
        </w:numPr>
        <w:jc w:val="both"/>
        <w:rPr>
          <w:rFonts w:cs="Arial"/>
        </w:rPr>
      </w:pPr>
      <w:r w:rsidRPr="00EC0BAF">
        <w:rPr>
          <w:rFonts w:cs="Arial"/>
        </w:rPr>
        <w:t>Si les collectivités n’ont pas délibéré avant le 1</w:t>
      </w:r>
      <w:r w:rsidRPr="00EC0BAF">
        <w:rPr>
          <w:rFonts w:cs="Arial"/>
          <w:vertAlign w:val="superscript"/>
        </w:rPr>
        <w:t>er</w:t>
      </w:r>
      <w:r w:rsidRPr="00EC0BAF">
        <w:rPr>
          <w:rFonts w:cs="Arial"/>
        </w:rPr>
        <w:t xml:space="preserve"> octobre 2024, elles peuvent toujours</w:t>
      </w:r>
      <w:r w:rsidR="001E544B" w:rsidRPr="00EC0BAF">
        <w:rPr>
          <w:rFonts w:cs="Arial"/>
        </w:rPr>
        <w:t xml:space="preserve"> d</w:t>
      </w:r>
      <w:r w:rsidRPr="00EC0BAF">
        <w:rPr>
          <w:rFonts w:cs="Arial"/>
        </w:rPr>
        <w:t>élibérer</w:t>
      </w:r>
      <w:r w:rsidR="00AF646F" w:rsidRPr="00EC0BAF">
        <w:rPr>
          <w:rFonts w:cs="Arial"/>
        </w:rPr>
        <w:t xml:space="preserve"> avant le 1</w:t>
      </w:r>
      <w:r w:rsidR="00AF646F" w:rsidRPr="00EC0BAF">
        <w:rPr>
          <w:rFonts w:cs="Arial"/>
          <w:vertAlign w:val="superscript"/>
        </w:rPr>
        <w:t>er</w:t>
      </w:r>
      <w:r w:rsidR="00AF646F" w:rsidRPr="00EC0BAF">
        <w:rPr>
          <w:rFonts w:cs="Arial"/>
        </w:rPr>
        <w:t xml:space="preserve"> octobre 2025 pour une application des exonérations à compter de 2026</w:t>
      </w:r>
      <w:r w:rsidR="00FB155F">
        <w:rPr>
          <w:rFonts w:ascii="Calibri" w:hAnsi="Calibri" w:cs="Calibri"/>
        </w:rPr>
        <w:t>.</w:t>
      </w:r>
    </w:p>
    <w:p w14:paraId="14498477" w14:textId="77777777" w:rsidR="001E01AF" w:rsidRPr="00EC0BAF" w:rsidRDefault="00AF646F">
      <w:pPr>
        <w:jc w:val="both"/>
        <w:rPr>
          <w:rFonts w:cs="Arial"/>
        </w:rPr>
      </w:pPr>
      <w:r w:rsidRPr="00EC0BAF">
        <w:rPr>
          <w:rFonts w:cs="Arial"/>
          <w:b/>
          <w:u w:val="single"/>
        </w:rPr>
        <w:lastRenderedPageBreak/>
        <w:t>A noter</w:t>
      </w:r>
      <w:r w:rsidRPr="00EC0BAF">
        <w:rPr>
          <w:rFonts w:ascii="Calibri" w:hAnsi="Calibri" w:cs="Calibri"/>
          <w:b/>
          <w:u w:val="single"/>
        </w:rPr>
        <w:t> </w:t>
      </w:r>
      <w:r w:rsidRPr="00EC0BAF">
        <w:rPr>
          <w:rFonts w:cs="Arial"/>
          <w:b/>
          <w:u w:val="single"/>
        </w:rPr>
        <w:t>:</w:t>
      </w:r>
      <w:r w:rsidRPr="00EC0BAF">
        <w:rPr>
          <w:rFonts w:cs="Arial"/>
        </w:rPr>
        <w:t xml:space="preserve"> l’exonération de taxe d’habitation sur les résidences secondaires était applicable sur le fondement du III de l’article 1407 du CGI jusqu’au 16 février 2025. </w:t>
      </w:r>
    </w:p>
    <w:p w14:paraId="636B7E34" w14:textId="77777777" w:rsidR="001E01AF" w:rsidRPr="00EC0BAF" w:rsidRDefault="00AF646F">
      <w:pPr>
        <w:jc w:val="both"/>
        <w:rPr>
          <w:rFonts w:cs="Arial"/>
        </w:rPr>
      </w:pPr>
      <w:r w:rsidRPr="00EC0BAF">
        <w:rPr>
          <w:rFonts w:cs="Arial"/>
        </w:rPr>
        <w:t>La loi de finances pour 2025 a créé un nouveau fondement juridique pour cette exonération</w:t>
      </w:r>
      <w:r w:rsidRPr="00EC0BAF">
        <w:rPr>
          <w:rFonts w:ascii="Calibri" w:hAnsi="Calibri" w:cs="Calibri"/>
        </w:rPr>
        <w:t> </w:t>
      </w:r>
      <w:r w:rsidRPr="00EC0BAF">
        <w:rPr>
          <w:rFonts w:cs="Arial"/>
        </w:rPr>
        <w:t xml:space="preserve">: l’article 1414 </w:t>
      </w:r>
      <w:r w:rsidRPr="00EC0BAF">
        <w:rPr>
          <w:rFonts w:cs="Arial"/>
          <w:u w:val="single"/>
        </w:rPr>
        <w:t>bis</w:t>
      </w:r>
      <w:r w:rsidRPr="00EC0BAF">
        <w:rPr>
          <w:rFonts w:cs="Arial"/>
        </w:rPr>
        <w:t xml:space="preserve"> du CGI, entré en vigueur le 16 février 2025. Depuis cette date, les collectivités classées en FRR qui souhaitent ouvrir droit à cette exonération, peuvent ainsi délibérer sur le fondement de l’article 1414 bis</w:t>
      </w:r>
      <w:r w:rsidRPr="00EC0BAF">
        <w:rPr>
          <w:rFonts w:cs="Arial"/>
          <w:i/>
        </w:rPr>
        <w:t xml:space="preserve"> </w:t>
      </w:r>
      <w:r w:rsidRPr="00EC0BAF">
        <w:rPr>
          <w:rFonts w:cs="Arial"/>
        </w:rPr>
        <w:t>du CGI.</w:t>
      </w:r>
    </w:p>
    <w:p w14:paraId="2DD57AD7" w14:textId="1B0A078F" w:rsidR="001E01AF" w:rsidRPr="00EC0BAF" w:rsidRDefault="00AF646F">
      <w:pPr>
        <w:jc w:val="both"/>
        <w:rPr>
          <w:rFonts w:cs="Arial"/>
        </w:rPr>
      </w:pPr>
      <w:r w:rsidRPr="00EC0BAF">
        <w:rPr>
          <w:rFonts w:cs="Arial"/>
        </w:rPr>
        <w:t>Les délibérations prises</w:t>
      </w:r>
      <w:r w:rsidR="00915CBE" w:rsidRPr="00EC0BAF">
        <w:rPr>
          <w:rFonts w:cs="Arial"/>
        </w:rPr>
        <w:t xml:space="preserve"> en 2024</w:t>
      </w:r>
      <w:r w:rsidRPr="00EC0BAF">
        <w:rPr>
          <w:rFonts w:cs="Arial"/>
        </w:rPr>
        <w:t xml:space="preserve">, sur </w:t>
      </w:r>
      <w:r w:rsidR="004E0027" w:rsidRPr="00EC0BAF">
        <w:rPr>
          <w:rFonts w:cs="Arial"/>
        </w:rPr>
        <w:t>la base</w:t>
      </w:r>
      <w:r w:rsidRPr="00EC0BAF">
        <w:rPr>
          <w:rFonts w:cs="Arial"/>
        </w:rPr>
        <w:t xml:space="preserve"> du III de l’article 1407 du CGI, demeurent applicables aux impositions établies à compter de l’année 2025, au titre de l’article 1414 bis.</w:t>
      </w:r>
    </w:p>
    <w:p w14:paraId="47D95731" w14:textId="77777777" w:rsidR="001E01AF" w:rsidRPr="00EC0BAF" w:rsidRDefault="00AF646F">
      <w:pPr>
        <w:pStyle w:val="Paragraphedeliste"/>
        <w:numPr>
          <w:ilvl w:val="0"/>
          <w:numId w:val="31"/>
        </w:numPr>
        <w:jc w:val="both"/>
        <w:rPr>
          <w:b/>
          <w:i/>
        </w:rPr>
      </w:pPr>
      <w:r w:rsidRPr="00EC0BAF">
        <w:rPr>
          <w:b/>
          <w:i/>
        </w:rPr>
        <w:t xml:space="preserve">Exonérations de CFE (article 1464 D du CGI, </w:t>
      </w:r>
      <w:r w:rsidRPr="00EC0BAF">
        <w:rPr>
          <w:i/>
        </w:rPr>
        <w:t>relatif aux médecins et auxiliaires médicaux</w:t>
      </w:r>
      <w:r w:rsidRPr="00EC0BAF">
        <w:rPr>
          <w:b/>
          <w:i/>
        </w:rPr>
        <w:t xml:space="preserve">) et de TFPB (article 1383 E du CGI, </w:t>
      </w:r>
      <w:r w:rsidRPr="00EC0BAF">
        <w:rPr>
          <w:i/>
        </w:rPr>
        <w:t>relatif aux logements acquis et améliorés via une aide de l’ANAH</w:t>
      </w:r>
      <w:r w:rsidRPr="00EC0BAF">
        <w:rPr>
          <w:b/>
          <w:i/>
        </w:rPr>
        <w:t xml:space="preserve">) </w:t>
      </w:r>
    </w:p>
    <w:p w14:paraId="77F2C4D8" w14:textId="77777777" w:rsidR="001E01AF" w:rsidRPr="00EC0BAF" w:rsidRDefault="00AF646F">
      <w:pPr>
        <w:jc w:val="both"/>
      </w:pPr>
      <w:r w:rsidRPr="00EC0BAF">
        <w:t xml:space="preserve">Les communes et EPCI-FP peuvent délibérer </w:t>
      </w:r>
      <w:r w:rsidRPr="00EC0BAF">
        <w:rPr>
          <w:b/>
        </w:rPr>
        <w:t>avant le 1</w:t>
      </w:r>
      <w:r w:rsidRPr="00EC0BAF">
        <w:rPr>
          <w:b/>
          <w:vertAlign w:val="superscript"/>
        </w:rPr>
        <w:t>er</w:t>
      </w:r>
      <w:r w:rsidRPr="00EC0BAF">
        <w:rPr>
          <w:b/>
        </w:rPr>
        <w:t xml:space="preserve"> octobre de l’année N</w:t>
      </w:r>
      <w:r w:rsidRPr="00EC0BAF">
        <w:rPr>
          <w:rFonts w:ascii="Calibri" w:hAnsi="Calibri" w:cs="Calibri"/>
        </w:rPr>
        <w:t> </w:t>
      </w:r>
      <w:r w:rsidRPr="00EC0BAF">
        <w:t>:</w:t>
      </w:r>
    </w:p>
    <w:p w14:paraId="014BFBF4" w14:textId="4E4B7290" w:rsidR="00A26B2D" w:rsidRPr="00EC0BAF" w:rsidRDefault="00B27C5A" w:rsidP="00A26B2D">
      <w:pPr>
        <w:pStyle w:val="Paragraphedeliste"/>
        <w:numPr>
          <w:ilvl w:val="0"/>
          <w:numId w:val="32"/>
        </w:numPr>
        <w:jc w:val="both"/>
        <w:rPr>
          <w:rFonts w:cs="Arial"/>
        </w:rPr>
      </w:pPr>
      <w:r w:rsidRPr="00EC0BAF">
        <w:rPr>
          <w:rFonts w:cs="Arial"/>
          <w:b/>
        </w:rPr>
        <w:t xml:space="preserve">Pour l’exonération de CFE </w:t>
      </w:r>
      <w:r w:rsidRPr="00EC0BAF">
        <w:rPr>
          <w:rFonts w:cs="Arial"/>
        </w:rPr>
        <w:t>(article 1464 D)</w:t>
      </w:r>
      <w:r w:rsidRPr="00EC0BAF">
        <w:rPr>
          <w:rFonts w:cs="Arial"/>
          <w:b/>
        </w:rPr>
        <w:t xml:space="preserve"> </w:t>
      </w:r>
      <w:r w:rsidR="00AF646F" w:rsidRPr="00EC0BAF">
        <w:rPr>
          <w:rFonts w:cs="Arial"/>
          <w:b/>
        </w:rPr>
        <w:t>:</w:t>
      </w:r>
      <w:r w:rsidR="00AF646F" w:rsidRPr="00EC0BAF">
        <w:rPr>
          <w:rFonts w:cs="Arial"/>
        </w:rPr>
        <w:t xml:space="preserve"> </w:t>
      </w:r>
    </w:p>
    <w:p w14:paraId="6B5F3F87" w14:textId="77777777" w:rsidR="00A26B2D" w:rsidRPr="00EC0BAF" w:rsidRDefault="00A26B2D" w:rsidP="00A26B2D">
      <w:pPr>
        <w:pStyle w:val="Paragraphedeliste"/>
        <w:ind w:left="1440"/>
        <w:jc w:val="both"/>
        <w:rPr>
          <w:rFonts w:cs="Arial"/>
        </w:rPr>
      </w:pPr>
    </w:p>
    <w:p w14:paraId="5F0A1B35" w14:textId="298B9852" w:rsidR="00060DAD" w:rsidRPr="00EC0BAF" w:rsidRDefault="00A945EE" w:rsidP="00A26B2D">
      <w:pPr>
        <w:pStyle w:val="Paragraphedeliste"/>
        <w:numPr>
          <w:ilvl w:val="1"/>
          <w:numId w:val="32"/>
        </w:numPr>
        <w:jc w:val="both"/>
        <w:rPr>
          <w:rFonts w:cs="Arial"/>
        </w:rPr>
      </w:pPr>
      <w:r w:rsidRPr="00EC0BAF">
        <w:rPr>
          <w:rFonts w:cs="Arial"/>
        </w:rPr>
        <w:t>D</w:t>
      </w:r>
      <w:r w:rsidR="00AF646F" w:rsidRPr="00EC0BAF">
        <w:rPr>
          <w:rFonts w:cs="Arial"/>
        </w:rPr>
        <w:t>élibération avant le 1</w:t>
      </w:r>
      <w:r w:rsidR="00AF646F" w:rsidRPr="00EC0BAF">
        <w:rPr>
          <w:rFonts w:cs="Arial"/>
          <w:vertAlign w:val="superscript"/>
        </w:rPr>
        <w:t>er</w:t>
      </w:r>
      <w:r w:rsidR="00AF646F" w:rsidRPr="00EC0BAF">
        <w:rPr>
          <w:rFonts w:cs="Arial"/>
        </w:rPr>
        <w:t xml:space="preserve"> octobre 2024 pour que les médecins et auxiliaires médicaux installés à compter de 2025 puissent bénéficier de l’exonération à partir 2026</w:t>
      </w:r>
      <w:r w:rsidR="00AF646F" w:rsidRPr="00EC0BAF">
        <w:rPr>
          <w:rFonts w:ascii="Calibri" w:hAnsi="Calibri" w:cs="Calibri"/>
        </w:rPr>
        <w:t> </w:t>
      </w:r>
      <w:r w:rsidR="00AF646F" w:rsidRPr="00EC0BAF">
        <w:rPr>
          <w:rFonts w:cs="Arial"/>
        </w:rPr>
        <w:t>;</w:t>
      </w:r>
    </w:p>
    <w:p w14:paraId="48FEEC5F" w14:textId="6393B4B9" w:rsidR="00DA1F5F" w:rsidRPr="00EC0BAF" w:rsidRDefault="00DA1F5F" w:rsidP="00DA1F5F">
      <w:pPr>
        <w:pStyle w:val="Paragraphedeliste"/>
        <w:numPr>
          <w:ilvl w:val="1"/>
          <w:numId w:val="32"/>
        </w:numPr>
        <w:jc w:val="both"/>
        <w:rPr>
          <w:rFonts w:cs="Arial"/>
        </w:rPr>
      </w:pPr>
      <w:r w:rsidRPr="00EC0BAF">
        <w:rPr>
          <w:rFonts w:cs="Arial"/>
        </w:rPr>
        <w:t>Si les collectivités n’ont pas délibéré avant le 1</w:t>
      </w:r>
      <w:r w:rsidRPr="00EC0BAF">
        <w:rPr>
          <w:rFonts w:cs="Arial"/>
          <w:vertAlign w:val="superscript"/>
        </w:rPr>
        <w:t>er</w:t>
      </w:r>
      <w:r w:rsidRPr="00EC0BAF">
        <w:rPr>
          <w:rFonts w:cs="Arial"/>
        </w:rPr>
        <w:t xml:space="preserve"> octobre 2024, elles peuvent toujours délibérer avant le 1</w:t>
      </w:r>
      <w:r w:rsidRPr="00EC0BAF">
        <w:rPr>
          <w:rFonts w:cs="Arial"/>
          <w:vertAlign w:val="superscript"/>
        </w:rPr>
        <w:t>er</w:t>
      </w:r>
      <w:r w:rsidRPr="00EC0BAF">
        <w:rPr>
          <w:rFonts w:cs="Arial"/>
        </w:rPr>
        <w:t xml:space="preserve"> octobre 2025</w:t>
      </w:r>
      <w:r w:rsidR="00547848" w:rsidRPr="00EC0BAF">
        <w:rPr>
          <w:rFonts w:cs="Arial"/>
        </w:rPr>
        <w:t>.</w:t>
      </w:r>
    </w:p>
    <w:p w14:paraId="61FC8575" w14:textId="0941E4AB" w:rsidR="001E01AF" w:rsidRPr="00EC0BAF" w:rsidRDefault="00AF646F">
      <w:pPr>
        <w:pBdr>
          <w:top w:val="single" w:sz="4" w:space="1" w:color="000000"/>
          <w:left w:val="single" w:sz="4" w:space="4" w:color="000000"/>
          <w:bottom w:val="single" w:sz="4" w:space="1" w:color="000000"/>
          <w:right w:val="single" w:sz="4" w:space="4" w:color="000000"/>
        </w:pBdr>
        <w:jc w:val="both"/>
        <w:rPr>
          <w:b/>
        </w:rPr>
      </w:pPr>
      <w:r w:rsidRPr="00EC0BAF">
        <w:rPr>
          <w:b/>
          <w:u w:val="single"/>
        </w:rPr>
        <w:t>Point de vigilance</w:t>
      </w:r>
      <w:r w:rsidRPr="00EC0BAF">
        <w:rPr>
          <w:rFonts w:ascii="Calibri" w:hAnsi="Calibri" w:cs="Calibri"/>
          <w:b/>
          <w:u w:val="single"/>
        </w:rPr>
        <w:t> </w:t>
      </w:r>
      <w:r w:rsidRPr="00EC0BAF">
        <w:rPr>
          <w:b/>
          <w:u w:val="single"/>
        </w:rPr>
        <w:t>:</w:t>
      </w:r>
      <w:r w:rsidRPr="00EC0BAF">
        <w:t xml:space="preserve"> la loi de finances pour 2025 </w:t>
      </w:r>
      <w:r w:rsidR="005566D6" w:rsidRPr="00EC0BAF">
        <w:t xml:space="preserve">(article 99, III, 1°) </w:t>
      </w:r>
      <w:r w:rsidR="001F24A4" w:rsidRPr="00EC0BAF">
        <w:t xml:space="preserve">prévoit une dérogation au droit commun précité. Il </w:t>
      </w:r>
      <w:r w:rsidRPr="00EC0BAF">
        <w:t>permet aux collectivités classées en FRR</w:t>
      </w:r>
      <w:r w:rsidR="00E8765C" w:rsidRPr="00EC0BAF">
        <w:t>,</w:t>
      </w:r>
      <w:r w:rsidR="00151EF3" w:rsidRPr="00EC0BAF">
        <w:t xml:space="preserve"> qui n’auraient pas délibéré</w:t>
      </w:r>
      <w:r w:rsidR="00E8765C" w:rsidRPr="00EC0BAF">
        <w:t xml:space="preserve"> avant la loi de finances pour 2025,</w:t>
      </w:r>
      <w:r w:rsidR="00151EF3" w:rsidRPr="00EC0BAF">
        <w:t xml:space="preserve"> d’y procéder </w:t>
      </w:r>
      <w:r w:rsidRPr="00EC0BAF">
        <w:t xml:space="preserve">dans un délai de 40 jours suivant la promulgation de ladite loi, soit </w:t>
      </w:r>
      <w:r w:rsidRPr="00EC0BAF">
        <w:rPr>
          <w:b/>
        </w:rPr>
        <w:t>jusqu’au 26 mars 2025 inclus, pour que les médecins et auxiliaires médicaux installés à compter du 1</w:t>
      </w:r>
      <w:r w:rsidRPr="00EC0BAF">
        <w:rPr>
          <w:b/>
          <w:vertAlign w:val="superscript"/>
        </w:rPr>
        <w:t>er</w:t>
      </w:r>
      <w:r w:rsidRPr="00EC0BAF">
        <w:rPr>
          <w:b/>
        </w:rPr>
        <w:t xml:space="preserve"> juillet 2024 puissent bénéficier de l’exonération dès 2025.</w:t>
      </w:r>
    </w:p>
    <w:p w14:paraId="6D955238" w14:textId="0DE7FD3C" w:rsidR="002A6741" w:rsidRPr="00EC0BAF" w:rsidRDefault="00AF646F">
      <w:pPr>
        <w:pBdr>
          <w:top w:val="single" w:sz="4" w:space="1" w:color="000000"/>
          <w:left w:val="single" w:sz="4" w:space="4" w:color="000000"/>
          <w:bottom w:val="single" w:sz="4" w:space="1" w:color="000000"/>
          <w:right w:val="single" w:sz="4" w:space="4" w:color="000000"/>
        </w:pBdr>
        <w:jc w:val="both"/>
        <w:rPr>
          <w:rFonts w:cs="Arial"/>
        </w:rPr>
      </w:pPr>
      <w:r w:rsidRPr="00EC0BAF">
        <w:rPr>
          <w:rFonts w:cs="Arial"/>
          <w:b/>
        </w:rPr>
        <w:t>Les collectivités ayant déjà délibéré avant le 1</w:t>
      </w:r>
      <w:r w:rsidRPr="00EC0BAF">
        <w:rPr>
          <w:rFonts w:cs="Arial"/>
          <w:b/>
          <w:vertAlign w:val="superscript"/>
        </w:rPr>
        <w:t>er</w:t>
      </w:r>
      <w:r w:rsidRPr="00EC0BAF">
        <w:rPr>
          <w:rFonts w:cs="Arial"/>
          <w:b/>
        </w:rPr>
        <w:t xml:space="preserve"> octobre 2024 peuvent </w:t>
      </w:r>
      <w:r w:rsidR="00151EF3" w:rsidRPr="00EC0BAF">
        <w:rPr>
          <w:rFonts w:cs="Arial"/>
          <w:b/>
        </w:rPr>
        <w:t>également</w:t>
      </w:r>
      <w:r w:rsidRPr="00EC0BAF">
        <w:rPr>
          <w:rFonts w:cs="Arial"/>
          <w:b/>
        </w:rPr>
        <w:t xml:space="preserve"> re-délibérer </w:t>
      </w:r>
      <w:r w:rsidRPr="00EC0BAF">
        <w:rPr>
          <w:rFonts w:cs="Arial"/>
        </w:rPr>
        <w:t>si elles souhaitent exonérer de CFE</w:t>
      </w:r>
      <w:r w:rsidR="00D93EF2" w:rsidRPr="00EC0BAF">
        <w:rPr>
          <w:rFonts w:cs="Arial"/>
        </w:rPr>
        <w:t xml:space="preserve"> dès 2025</w:t>
      </w:r>
      <w:r w:rsidRPr="00EC0BAF">
        <w:rPr>
          <w:rFonts w:cs="Arial"/>
        </w:rPr>
        <w:t xml:space="preserve"> les médecins et auxiliaires médicaux installés </w:t>
      </w:r>
      <w:r w:rsidR="007054E1" w:rsidRPr="00EC0BAF">
        <w:rPr>
          <w:rFonts w:cs="Arial"/>
        </w:rPr>
        <w:t>à compter du</w:t>
      </w:r>
      <w:r w:rsidRPr="00EC0BAF">
        <w:rPr>
          <w:rFonts w:cs="Arial"/>
        </w:rPr>
        <w:t xml:space="preserve"> 1</w:t>
      </w:r>
      <w:r w:rsidRPr="00EC0BAF">
        <w:rPr>
          <w:rFonts w:cs="Arial"/>
          <w:vertAlign w:val="superscript"/>
        </w:rPr>
        <w:t>er</w:t>
      </w:r>
      <w:r w:rsidRPr="00EC0BAF">
        <w:rPr>
          <w:rFonts w:cs="Arial"/>
        </w:rPr>
        <w:t xml:space="preserve"> juillet 2024.</w:t>
      </w:r>
      <w:r w:rsidR="002A6741" w:rsidRPr="00EC0BAF">
        <w:rPr>
          <w:rFonts w:cs="Arial"/>
          <w:b/>
        </w:rPr>
        <w:t xml:space="preserve"> </w:t>
      </w:r>
      <w:r w:rsidRPr="00EC0BAF">
        <w:rPr>
          <w:rFonts w:cs="Arial"/>
          <w:b/>
        </w:rPr>
        <w:t xml:space="preserve">Les collectivités ayant déjà délibéré </w:t>
      </w:r>
      <w:r w:rsidR="002241C8" w:rsidRPr="00EC0BAF">
        <w:rPr>
          <w:rFonts w:cs="Arial"/>
          <w:b/>
        </w:rPr>
        <w:t>entre</w:t>
      </w:r>
      <w:r w:rsidRPr="00EC0BAF">
        <w:rPr>
          <w:rFonts w:cs="Arial"/>
          <w:b/>
        </w:rPr>
        <w:t xml:space="preserve"> le 1</w:t>
      </w:r>
      <w:r w:rsidRPr="00EC0BAF">
        <w:rPr>
          <w:rFonts w:cs="Arial"/>
          <w:b/>
          <w:vertAlign w:val="superscript"/>
        </w:rPr>
        <w:t>er</w:t>
      </w:r>
      <w:r w:rsidRPr="00EC0BAF">
        <w:rPr>
          <w:rFonts w:cs="Arial"/>
          <w:b/>
        </w:rPr>
        <w:t> octobre 2024</w:t>
      </w:r>
      <w:r w:rsidR="00633764" w:rsidRPr="00EC0BAF">
        <w:rPr>
          <w:rFonts w:cs="Arial"/>
          <w:b/>
        </w:rPr>
        <w:t xml:space="preserve"> et la promulgation</w:t>
      </w:r>
      <w:r w:rsidR="002241C8" w:rsidRPr="00EC0BAF">
        <w:rPr>
          <w:rFonts w:cs="Arial"/>
          <w:b/>
        </w:rPr>
        <w:t xml:space="preserve"> de la loi de finances pour 2025</w:t>
      </w:r>
      <w:r w:rsidRPr="00EC0BAF">
        <w:rPr>
          <w:rFonts w:cs="Arial"/>
          <w:b/>
        </w:rPr>
        <w:t xml:space="preserve"> peuvent </w:t>
      </w:r>
      <w:r w:rsidR="00151EF3" w:rsidRPr="00EC0BAF">
        <w:rPr>
          <w:rFonts w:cs="Arial"/>
          <w:b/>
        </w:rPr>
        <w:t>aussi</w:t>
      </w:r>
      <w:r w:rsidRPr="00EC0BAF">
        <w:rPr>
          <w:rFonts w:cs="Arial"/>
          <w:b/>
        </w:rPr>
        <w:t xml:space="preserve"> re-délibérer</w:t>
      </w:r>
      <w:r w:rsidR="002A6741" w:rsidRPr="00EC0BAF">
        <w:rPr>
          <w:rFonts w:cs="Arial"/>
          <w:b/>
        </w:rPr>
        <w:t xml:space="preserve"> </w:t>
      </w:r>
      <w:r w:rsidR="002A6741" w:rsidRPr="00EC0BAF">
        <w:rPr>
          <w:rFonts w:cs="Arial"/>
        </w:rPr>
        <w:t>pour appliquer ce même régime.</w:t>
      </w:r>
    </w:p>
    <w:p w14:paraId="3EB1842C" w14:textId="147F3FE0" w:rsidR="00E15B3B" w:rsidRPr="00EC0BAF" w:rsidRDefault="00AF646F">
      <w:pPr>
        <w:pBdr>
          <w:top w:val="single" w:sz="4" w:space="1" w:color="000000"/>
          <w:left w:val="single" w:sz="4" w:space="4" w:color="000000"/>
          <w:bottom w:val="single" w:sz="4" w:space="1" w:color="000000"/>
          <w:right w:val="single" w:sz="4" w:space="4" w:color="000000"/>
        </w:pBdr>
        <w:jc w:val="both"/>
        <w:rPr>
          <w:rFonts w:cs="Arial"/>
        </w:rPr>
      </w:pPr>
      <w:r w:rsidRPr="00EC0BAF">
        <w:rPr>
          <w:rFonts w:cs="Arial"/>
        </w:rPr>
        <w:t xml:space="preserve">Les </w:t>
      </w:r>
      <w:r w:rsidRPr="00EC0BAF">
        <w:t>médecins et les auxiliaires médicaux</w:t>
      </w:r>
      <w:r w:rsidRPr="00EC0BAF">
        <w:rPr>
          <w:rFonts w:cs="Arial"/>
        </w:rPr>
        <w:t xml:space="preserve"> qui souhaitent bénéficier de l'exonération au titre de 2025 en font la demande au service des impôts dont relèvent </w:t>
      </w:r>
      <w:r w:rsidRPr="00EC0BAF">
        <w:t>chacun de leurs établissements</w:t>
      </w:r>
      <w:r w:rsidRPr="00EC0BAF">
        <w:rPr>
          <w:rFonts w:cs="Arial"/>
        </w:rPr>
        <w:t xml:space="preserve"> concernés au plus tard le 5 mai 2025.</w:t>
      </w:r>
    </w:p>
    <w:p w14:paraId="3698A667" w14:textId="77777777" w:rsidR="00DA1F5F" w:rsidRPr="00EC0BAF" w:rsidRDefault="00DA1F5F" w:rsidP="00DA1F5F">
      <w:pPr>
        <w:pBdr>
          <w:top w:val="single" w:sz="4" w:space="1" w:color="000000"/>
          <w:left w:val="single" w:sz="4" w:space="4" w:color="000000"/>
          <w:bottom w:val="single" w:sz="4" w:space="1" w:color="000000"/>
          <w:right w:val="single" w:sz="4" w:space="4" w:color="000000"/>
        </w:pBdr>
        <w:jc w:val="both"/>
        <w:rPr>
          <w:rFonts w:cs="Arial"/>
        </w:rPr>
      </w:pPr>
      <w:r w:rsidRPr="00EC0BAF">
        <w:rPr>
          <w:rFonts w:cs="Arial"/>
        </w:rPr>
        <w:t xml:space="preserve">Les collectivités qui n’auraient pas délibéré dans ce délai de 40 jours (soit jusqu’au 26 mars 2025) pourront toujours délibérer </w:t>
      </w:r>
      <w:r w:rsidRPr="00EC0BAF">
        <w:rPr>
          <w:rFonts w:cs="Arial"/>
          <w:b/>
        </w:rPr>
        <w:t>entre le 27 mars 2025 et le 30 septembre 2025</w:t>
      </w:r>
      <w:r w:rsidRPr="00EC0BAF">
        <w:rPr>
          <w:rFonts w:cs="Arial"/>
        </w:rPr>
        <w:t xml:space="preserve"> pour que les médecins et auxiliaires médicaux installés à compter de 2026 puissent bénéficier de l’exonération à partir 2027.</w:t>
      </w:r>
    </w:p>
    <w:p w14:paraId="4CDF793D" w14:textId="3AA66DA7" w:rsidR="00CD79F9" w:rsidRPr="00EC0BAF" w:rsidRDefault="00005757">
      <w:pPr>
        <w:pStyle w:val="Paragraphedeliste"/>
        <w:numPr>
          <w:ilvl w:val="0"/>
          <w:numId w:val="32"/>
        </w:numPr>
        <w:jc w:val="both"/>
        <w:rPr>
          <w:rFonts w:cs="Arial"/>
        </w:rPr>
      </w:pPr>
      <w:r w:rsidRPr="00EC0BAF">
        <w:rPr>
          <w:rFonts w:cs="Arial"/>
          <w:b/>
        </w:rPr>
        <w:lastRenderedPageBreak/>
        <w:t xml:space="preserve">Pour l’exonération de TFPB </w:t>
      </w:r>
      <w:r w:rsidRPr="00EC0BAF">
        <w:rPr>
          <w:rFonts w:cs="Arial"/>
        </w:rPr>
        <w:t>(article 1383 E)</w:t>
      </w:r>
      <w:r w:rsidRPr="00EC0BAF">
        <w:rPr>
          <w:rFonts w:cs="Arial"/>
          <w:b/>
        </w:rPr>
        <w:t xml:space="preserve"> </w:t>
      </w:r>
      <w:r w:rsidR="00AF646F" w:rsidRPr="00EC0BAF">
        <w:rPr>
          <w:rFonts w:cs="Arial"/>
          <w:b/>
        </w:rPr>
        <w:t>:</w:t>
      </w:r>
      <w:r w:rsidR="00AF646F" w:rsidRPr="00EC0BAF">
        <w:rPr>
          <w:rFonts w:cs="Arial"/>
        </w:rPr>
        <w:t xml:space="preserve"> </w:t>
      </w:r>
    </w:p>
    <w:p w14:paraId="1BED33A6" w14:textId="77777777" w:rsidR="00CD79F9" w:rsidRPr="00EC0BAF" w:rsidRDefault="00CD79F9" w:rsidP="00CD79F9">
      <w:pPr>
        <w:pStyle w:val="Paragraphedeliste"/>
        <w:jc w:val="both"/>
        <w:rPr>
          <w:rFonts w:cs="Arial"/>
        </w:rPr>
      </w:pPr>
    </w:p>
    <w:p w14:paraId="4BD7FCE6" w14:textId="30607589" w:rsidR="001E01AF" w:rsidRPr="00EC0BAF" w:rsidRDefault="00375515" w:rsidP="00CD79F9">
      <w:pPr>
        <w:pStyle w:val="Paragraphedeliste"/>
        <w:numPr>
          <w:ilvl w:val="1"/>
          <w:numId w:val="32"/>
        </w:numPr>
        <w:jc w:val="both"/>
        <w:rPr>
          <w:rFonts w:cs="Arial"/>
        </w:rPr>
      </w:pPr>
      <w:r w:rsidRPr="00EC0BAF">
        <w:rPr>
          <w:rFonts w:cs="Arial"/>
        </w:rPr>
        <w:t>D</w:t>
      </w:r>
      <w:r w:rsidR="00AF646F" w:rsidRPr="00EC0BAF">
        <w:rPr>
          <w:rFonts w:cs="Arial"/>
        </w:rPr>
        <w:t xml:space="preserve">élibération </w:t>
      </w:r>
      <w:r w:rsidR="00C96270" w:rsidRPr="00EC0BAF">
        <w:rPr>
          <w:rFonts w:cs="Arial"/>
        </w:rPr>
        <w:t>avant</w:t>
      </w:r>
      <w:r w:rsidR="00AF646F" w:rsidRPr="00EC0BAF">
        <w:rPr>
          <w:rFonts w:cs="Arial"/>
        </w:rPr>
        <w:t xml:space="preserve"> le 1</w:t>
      </w:r>
      <w:r w:rsidR="00AF646F" w:rsidRPr="00EC0BAF">
        <w:rPr>
          <w:rFonts w:cs="Arial"/>
          <w:vertAlign w:val="superscript"/>
        </w:rPr>
        <w:t>er</w:t>
      </w:r>
      <w:r w:rsidR="00AF646F" w:rsidRPr="00EC0BAF">
        <w:rPr>
          <w:rFonts w:cs="Arial"/>
        </w:rPr>
        <w:t xml:space="preserve"> octobre 2024 pour que les logements dont les travaux d’amélioration se sont achevés à compter du 1</w:t>
      </w:r>
      <w:r w:rsidR="00AF646F" w:rsidRPr="00EC0BAF">
        <w:rPr>
          <w:rFonts w:cs="Arial"/>
          <w:vertAlign w:val="superscript"/>
        </w:rPr>
        <w:t>er</w:t>
      </w:r>
      <w:r w:rsidR="00AF646F" w:rsidRPr="00EC0BAF">
        <w:rPr>
          <w:rFonts w:cs="Arial"/>
        </w:rPr>
        <w:t xml:space="preserve"> juillet 2024 puissent bénéficier de l’exonération à partir de 2025</w:t>
      </w:r>
      <w:r w:rsidR="007E0A8E" w:rsidRPr="00EC0BAF">
        <w:rPr>
          <w:rFonts w:ascii="Calibri" w:hAnsi="Calibri" w:cs="Calibri"/>
        </w:rPr>
        <w:t> </w:t>
      </w:r>
      <w:r w:rsidR="007E0A8E" w:rsidRPr="00EC0BAF">
        <w:rPr>
          <w:rFonts w:cs="Arial"/>
        </w:rPr>
        <w:t>;</w:t>
      </w:r>
    </w:p>
    <w:p w14:paraId="4307C7D9" w14:textId="47A96DB5" w:rsidR="00DA1F5F" w:rsidRPr="00EC0BAF" w:rsidRDefault="00DA1F5F" w:rsidP="00DA1F5F">
      <w:pPr>
        <w:pStyle w:val="Paragraphedeliste"/>
        <w:numPr>
          <w:ilvl w:val="1"/>
          <w:numId w:val="32"/>
        </w:numPr>
        <w:jc w:val="both"/>
        <w:rPr>
          <w:rFonts w:cs="Arial"/>
        </w:rPr>
      </w:pPr>
      <w:r w:rsidRPr="00EC0BAF">
        <w:rPr>
          <w:rFonts w:cs="Arial"/>
        </w:rPr>
        <w:t>Si les collectivités n’ont pas délibéré avant le 1</w:t>
      </w:r>
      <w:r w:rsidRPr="00EC0BAF">
        <w:rPr>
          <w:rFonts w:cs="Arial"/>
          <w:vertAlign w:val="superscript"/>
        </w:rPr>
        <w:t>er</w:t>
      </w:r>
      <w:r w:rsidRPr="00EC0BAF">
        <w:rPr>
          <w:rFonts w:cs="Arial"/>
        </w:rPr>
        <w:t xml:space="preserve"> octobre 2024, elles peuvent toujours délibérer avant le 1</w:t>
      </w:r>
      <w:r w:rsidRPr="00EC0BAF">
        <w:rPr>
          <w:rFonts w:cs="Arial"/>
          <w:vertAlign w:val="superscript"/>
        </w:rPr>
        <w:t>er</w:t>
      </w:r>
      <w:r w:rsidRPr="00EC0BAF">
        <w:rPr>
          <w:rFonts w:cs="Arial"/>
        </w:rPr>
        <w:t xml:space="preserve"> octobre 2025</w:t>
      </w:r>
      <w:r w:rsidR="00C8080D" w:rsidRPr="00EC0BAF">
        <w:rPr>
          <w:rFonts w:cs="Arial"/>
        </w:rPr>
        <w:t>.</w:t>
      </w:r>
    </w:p>
    <w:p w14:paraId="5918AE61" w14:textId="77777777" w:rsidR="00BC00E4" w:rsidRPr="00EC0BAF" w:rsidRDefault="00BC00E4" w:rsidP="00BC00E4">
      <w:pPr>
        <w:pStyle w:val="Paragraphedeliste"/>
        <w:ind w:left="1440"/>
        <w:jc w:val="both"/>
        <w:rPr>
          <w:rFonts w:cs="Arial"/>
          <w:color w:val="FF0000"/>
        </w:rPr>
      </w:pPr>
    </w:p>
    <w:p w14:paraId="380DE929" w14:textId="18340554" w:rsidR="001E01AF" w:rsidRPr="00EC0BAF" w:rsidRDefault="00527A5E" w:rsidP="00527A5E">
      <w:pPr>
        <w:pBdr>
          <w:top w:val="single" w:sz="4" w:space="1" w:color="auto"/>
          <w:left w:val="single" w:sz="4" w:space="4" w:color="auto"/>
          <w:bottom w:val="single" w:sz="4" w:space="1" w:color="auto"/>
          <w:right w:val="single" w:sz="4" w:space="4" w:color="auto"/>
        </w:pBdr>
        <w:jc w:val="both"/>
      </w:pPr>
      <w:r w:rsidRPr="00EC0BAF">
        <w:rPr>
          <w:b/>
          <w:u w:val="single"/>
        </w:rPr>
        <w:t>Point de vigilance :</w:t>
      </w:r>
      <w:r w:rsidRPr="00EC0BAF">
        <w:t xml:space="preserve"> la loi de finances pour 2025 </w:t>
      </w:r>
      <w:r w:rsidR="00CD23C9" w:rsidRPr="00EC0BAF">
        <w:t xml:space="preserve">(article 99, III, 1°) </w:t>
      </w:r>
      <w:r w:rsidRPr="00EC0BAF">
        <w:t>p</w:t>
      </w:r>
      <w:r w:rsidR="001F24A4" w:rsidRPr="00EC0BAF">
        <w:t>révoit une dérogation au droit commun précité. Il p</w:t>
      </w:r>
      <w:r w:rsidRPr="00EC0BAF">
        <w:t>ermet aux collectivités classées en FRR</w:t>
      </w:r>
      <w:r w:rsidR="00E8765C" w:rsidRPr="00EC0BAF">
        <w:t>,</w:t>
      </w:r>
      <w:r w:rsidRPr="00EC0BAF">
        <w:t xml:space="preserve"> </w:t>
      </w:r>
      <w:r w:rsidR="00E8765C" w:rsidRPr="00EC0BAF">
        <w:t xml:space="preserve">qui n’auraient pas délibéré avant la loi de finances pour 2025, d’y procéder </w:t>
      </w:r>
      <w:r w:rsidRPr="00EC0BAF">
        <w:t xml:space="preserve">dans un délai de 40 jours suivant la promulgation de ladite loi, soit </w:t>
      </w:r>
      <w:r w:rsidRPr="00EC0BAF">
        <w:rPr>
          <w:b/>
        </w:rPr>
        <w:t>jusqu’au 26 mars 2025 inclus</w:t>
      </w:r>
      <w:r w:rsidRPr="00EC0BAF">
        <w:t xml:space="preserve">, </w:t>
      </w:r>
      <w:r w:rsidRPr="00EC0BAF">
        <w:rPr>
          <w:b/>
        </w:rPr>
        <w:t>pour que les logements dont les travaux d’amélioration se sont achevés à compter du 1</w:t>
      </w:r>
      <w:r w:rsidRPr="00EC0BAF">
        <w:rPr>
          <w:b/>
          <w:vertAlign w:val="superscript"/>
        </w:rPr>
        <w:t>er</w:t>
      </w:r>
      <w:r w:rsidRPr="00EC0BAF">
        <w:rPr>
          <w:b/>
        </w:rPr>
        <w:t xml:space="preserve"> juillet 2024 puissent bénéficier de l’exonération dès 2025.</w:t>
      </w:r>
    </w:p>
    <w:p w14:paraId="59871B84" w14:textId="60B2319A" w:rsidR="00527A5E" w:rsidRPr="00EC0BAF" w:rsidRDefault="00527A5E" w:rsidP="00527A5E">
      <w:pPr>
        <w:pBdr>
          <w:top w:val="single" w:sz="4" w:space="1" w:color="auto"/>
          <w:left w:val="single" w:sz="4" w:space="4" w:color="auto"/>
          <w:bottom w:val="single" w:sz="4" w:space="1" w:color="auto"/>
          <w:right w:val="single" w:sz="4" w:space="4" w:color="auto"/>
        </w:pBdr>
        <w:jc w:val="both"/>
      </w:pPr>
      <w:r w:rsidRPr="00EC0BAF">
        <w:t xml:space="preserve">Les collectivités </w:t>
      </w:r>
      <w:r w:rsidR="00506258" w:rsidRPr="00EC0BAF">
        <w:rPr>
          <w:b/>
        </w:rPr>
        <w:t>ayant déjà</w:t>
      </w:r>
      <w:r w:rsidR="00D438C5" w:rsidRPr="00EC0BAF">
        <w:rPr>
          <w:b/>
        </w:rPr>
        <w:t xml:space="preserve"> délibéré en</w:t>
      </w:r>
      <w:r w:rsidR="00796E14" w:rsidRPr="00EC0BAF">
        <w:rPr>
          <w:b/>
        </w:rPr>
        <w:t>tre le 1</w:t>
      </w:r>
      <w:r w:rsidR="00796E14" w:rsidRPr="00EC0BAF">
        <w:rPr>
          <w:b/>
          <w:vertAlign w:val="superscript"/>
        </w:rPr>
        <w:t>er</w:t>
      </w:r>
      <w:r w:rsidR="00796E14" w:rsidRPr="00EC0BAF">
        <w:rPr>
          <w:b/>
        </w:rPr>
        <w:t xml:space="preserve"> octobre 2024 et</w:t>
      </w:r>
      <w:r w:rsidR="0014305D" w:rsidRPr="00EC0BAF">
        <w:rPr>
          <w:b/>
        </w:rPr>
        <w:t xml:space="preserve"> la promulgation</w:t>
      </w:r>
      <w:r w:rsidR="00D438C5" w:rsidRPr="00EC0BAF">
        <w:rPr>
          <w:b/>
        </w:rPr>
        <w:t xml:space="preserve"> de </w:t>
      </w:r>
      <w:r w:rsidRPr="00EC0BAF">
        <w:rPr>
          <w:b/>
        </w:rPr>
        <w:t>la loi de finances pour 2025</w:t>
      </w:r>
      <w:r w:rsidRPr="00EC0BAF">
        <w:t xml:space="preserve"> </w:t>
      </w:r>
      <w:r w:rsidRPr="00EC0BAF">
        <w:rPr>
          <w:b/>
        </w:rPr>
        <w:t xml:space="preserve">peuvent </w:t>
      </w:r>
      <w:r w:rsidR="00506258" w:rsidRPr="00EC0BAF">
        <w:rPr>
          <w:b/>
        </w:rPr>
        <w:t>également</w:t>
      </w:r>
      <w:r w:rsidRPr="00EC0BAF">
        <w:rPr>
          <w:b/>
        </w:rPr>
        <w:t xml:space="preserve"> </w:t>
      </w:r>
      <w:r w:rsidR="003850A1" w:rsidRPr="00EC0BAF">
        <w:rPr>
          <w:b/>
        </w:rPr>
        <w:t>re-délibérer</w:t>
      </w:r>
      <w:r w:rsidRPr="00EC0BAF">
        <w:t xml:space="preserve"> si elles souhaitent exonérer de TFPB</w:t>
      </w:r>
      <w:r w:rsidR="00D93EF2" w:rsidRPr="00EC0BAF">
        <w:t xml:space="preserve"> dès 2025</w:t>
      </w:r>
      <w:r w:rsidRPr="00EC0BAF">
        <w:t xml:space="preserve"> les logements dont les travaux se sont achevés à compter du 1</w:t>
      </w:r>
      <w:r w:rsidRPr="00EC0BAF">
        <w:rPr>
          <w:vertAlign w:val="superscript"/>
        </w:rPr>
        <w:t>er</w:t>
      </w:r>
      <w:r w:rsidRPr="00EC0BAF">
        <w:t xml:space="preserve"> juillet 2024.</w:t>
      </w:r>
    </w:p>
    <w:p w14:paraId="00E2EDE4" w14:textId="2D42E40F" w:rsidR="00A7386A" w:rsidRPr="00EC0BAF" w:rsidRDefault="00A7386A" w:rsidP="00527A5E">
      <w:pPr>
        <w:pBdr>
          <w:top w:val="single" w:sz="4" w:space="1" w:color="auto"/>
          <w:left w:val="single" w:sz="4" w:space="4" w:color="auto"/>
          <w:bottom w:val="single" w:sz="4" w:space="1" w:color="auto"/>
          <w:right w:val="single" w:sz="4" w:space="4" w:color="auto"/>
        </w:pBdr>
        <w:jc w:val="both"/>
      </w:pPr>
      <w:r w:rsidRPr="00EC0BAF">
        <w:t xml:space="preserve">Les </w:t>
      </w:r>
      <w:r w:rsidR="00E7190E" w:rsidRPr="00EC0BAF">
        <w:t>propriétaires</w:t>
      </w:r>
      <w:r w:rsidRPr="00EC0BAF">
        <w:t xml:space="preserve"> qui souhaitent bénéficier de l'exonération au titre de 2025 en font la demande au service des impôts dont relèvent chacun </w:t>
      </w:r>
      <w:r w:rsidR="00E7190E" w:rsidRPr="00EC0BAF">
        <w:t>des immeuble</w:t>
      </w:r>
      <w:r w:rsidRPr="00EC0BAF">
        <w:t>s concernés au plus tard le 5 mai 2025.</w:t>
      </w:r>
    </w:p>
    <w:p w14:paraId="160D9A9E" w14:textId="4804A865" w:rsidR="00635D1F" w:rsidRPr="00EC0BAF" w:rsidRDefault="00DA1F5F" w:rsidP="00AB3F5B">
      <w:pPr>
        <w:pBdr>
          <w:top w:val="single" w:sz="4" w:space="1" w:color="auto"/>
          <w:left w:val="single" w:sz="4" w:space="4" w:color="auto"/>
          <w:bottom w:val="single" w:sz="4" w:space="1" w:color="auto"/>
          <w:right w:val="single" w:sz="4" w:space="4" w:color="auto"/>
        </w:pBdr>
        <w:jc w:val="both"/>
      </w:pPr>
      <w:r w:rsidRPr="00EC0BAF">
        <w:t xml:space="preserve">Les collectivités qui n’auraient pas délibéré dans ce délai de 40 jours (soit jusqu’au 26 mars 2025) pourront toujours délibérer </w:t>
      </w:r>
      <w:r w:rsidRPr="00EC0BAF">
        <w:rPr>
          <w:b/>
        </w:rPr>
        <w:t>entre le 27 mars 2025 et le 30 septembre 2025</w:t>
      </w:r>
      <w:r w:rsidRPr="00EC0BAF">
        <w:t xml:space="preserve"> pour que </w:t>
      </w:r>
      <w:r w:rsidRPr="00EC0BAF">
        <w:rPr>
          <w:rFonts w:cs="Arial"/>
        </w:rPr>
        <w:t>les logements dont les travaux d’amélioration se sont achevés à compter de 2025 puissent bénéficier de l’exonération à partir de 2026</w:t>
      </w:r>
      <w:r w:rsidR="00372DA3" w:rsidRPr="00EC0BAF">
        <w:rPr>
          <w:rFonts w:cs="Arial"/>
        </w:rPr>
        <w:t>.</w:t>
      </w:r>
      <w:r w:rsidRPr="00EC0BAF">
        <w:rPr>
          <w:rFonts w:ascii="Calibri" w:hAnsi="Calibri" w:cs="Calibri"/>
        </w:rPr>
        <w:t> </w:t>
      </w:r>
    </w:p>
    <w:p w14:paraId="31D4EBDA" w14:textId="77777777" w:rsidR="009C4855" w:rsidRDefault="009C4855" w:rsidP="00AB3F5B">
      <w:pPr>
        <w:pStyle w:val="Paragraphedeliste"/>
        <w:jc w:val="both"/>
        <w:rPr>
          <w:b/>
          <w:i/>
          <w:color w:val="000000" w:themeColor="text1"/>
          <w:u w:val="single"/>
        </w:rPr>
      </w:pPr>
    </w:p>
    <w:p w14:paraId="1FFB0EF8" w14:textId="599E8804" w:rsidR="00AB3F5B" w:rsidRPr="003E486F" w:rsidRDefault="00DB5E82" w:rsidP="00AB3F5B">
      <w:pPr>
        <w:pStyle w:val="Paragraphedeliste"/>
        <w:jc w:val="both"/>
        <w:rPr>
          <w:b/>
          <w:i/>
          <w:color w:val="000000" w:themeColor="text1"/>
          <w:highlight w:val="yellow"/>
          <w:u w:val="single"/>
        </w:rPr>
      </w:pPr>
      <w:r>
        <w:rPr>
          <w:rFonts w:cs="Arial"/>
          <w:noProof/>
          <w:lang w:eastAsia="fr-FR"/>
        </w:rPr>
        <mc:AlternateContent>
          <mc:Choice Requires="wps">
            <w:drawing>
              <wp:anchor distT="0" distB="0" distL="114300" distR="114300" simplePos="0" relativeHeight="251665408" behindDoc="0" locked="0" layoutInCell="1" allowOverlap="1" wp14:anchorId="75F76A59" wp14:editId="57BAC908">
                <wp:simplePos x="0" y="0"/>
                <wp:positionH relativeFrom="column">
                  <wp:posOffset>-808990</wp:posOffset>
                </wp:positionH>
                <wp:positionV relativeFrom="paragraph">
                  <wp:posOffset>182880</wp:posOffset>
                </wp:positionV>
                <wp:extent cx="809296" cy="294289"/>
                <wp:effectExtent l="0" t="0" r="10160" b="10795"/>
                <wp:wrapNone/>
                <wp:docPr id="9" name="Rectangle à coins arrondis 9"/>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AD5F82" w14:textId="77777777" w:rsidR="00DB5E82" w:rsidRPr="00774AB8" w:rsidRDefault="00DB5E82" w:rsidP="00DB5E82">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76A59" id="Rectangle à coins arrondis 9" o:spid="_x0000_s1031" style="position:absolute;left:0;text-align:left;margin-left:-63.7pt;margin-top:14.4pt;width:63.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" fillcolor="#b4c6e7 [1304]" strokecolor="black [3213]" strokeweight="1pt">
                <v:stroke joinstyle="miter"/>
                <v:textbox>
                  <w:txbxContent>
                    <w:p w14:paraId="2FAD5F82" w14:textId="77777777" w:rsidR="00DB5E82" w:rsidRPr="00774AB8" w:rsidRDefault="00DB5E82" w:rsidP="00DB5E82">
                      <w:pPr>
                        <w:jc w:val="center"/>
                        <w:rPr>
                          <w:b/>
                        </w:rPr>
                      </w:pPr>
                      <w:r w:rsidRPr="00774AB8">
                        <w:rPr>
                          <w:b/>
                          <w:sz w:val="20"/>
                        </w:rPr>
                        <w:t>Nouve</w:t>
                      </w:r>
                      <w:r w:rsidRPr="00774AB8">
                        <w:rPr>
                          <w:b/>
                        </w:rPr>
                        <w:t>au</w:t>
                      </w:r>
                    </w:p>
                  </w:txbxContent>
                </v:textbox>
              </v:roundrect>
            </w:pict>
          </mc:Fallback>
        </mc:AlternateContent>
      </w:r>
    </w:p>
    <w:p w14:paraId="08B68910" w14:textId="75B99278" w:rsidR="001E01AF" w:rsidRPr="00BF0F1B" w:rsidRDefault="00AF646F">
      <w:pPr>
        <w:pStyle w:val="Paragraphedeliste"/>
        <w:numPr>
          <w:ilvl w:val="0"/>
          <w:numId w:val="22"/>
        </w:numPr>
        <w:jc w:val="both"/>
        <w:rPr>
          <w:b/>
          <w:i/>
          <w:color w:val="000000" w:themeColor="text1"/>
          <w:u w:val="single"/>
        </w:rPr>
      </w:pPr>
      <w:r w:rsidRPr="00BF0F1B">
        <w:rPr>
          <w:b/>
          <w:i/>
          <w:color w:val="000000" w:themeColor="text1"/>
          <w:u w:val="single"/>
        </w:rPr>
        <w:t xml:space="preserve">Délais applicables aux communes classées ou bénéficiaires FRR </w:t>
      </w:r>
      <w:r w:rsidR="00BF2AEE" w:rsidRPr="00BF0F1B">
        <w:rPr>
          <w:b/>
          <w:i/>
          <w:color w:val="000000" w:themeColor="text1"/>
          <w:u w:val="single"/>
        </w:rPr>
        <w:t>conformément à</w:t>
      </w:r>
      <w:r w:rsidRPr="00BF0F1B">
        <w:rPr>
          <w:b/>
          <w:i/>
          <w:color w:val="000000" w:themeColor="text1"/>
          <w:u w:val="single"/>
        </w:rPr>
        <w:t xml:space="preserve"> la loi de finances pour 2025</w:t>
      </w:r>
    </w:p>
    <w:p w14:paraId="5DB4E302" w14:textId="77777777" w:rsidR="001E01AF" w:rsidRPr="00BF0F1B" w:rsidRDefault="00AF646F" w:rsidP="007C43EF">
      <w:pPr>
        <w:jc w:val="both"/>
        <w:rPr>
          <w:color w:val="000000" w:themeColor="text1"/>
          <w:u w:val="single"/>
        </w:rPr>
      </w:pPr>
      <w:r w:rsidRPr="00BF0F1B">
        <w:rPr>
          <w:b/>
          <w:color w:val="000000" w:themeColor="text1"/>
          <w:u w:val="single"/>
        </w:rPr>
        <w:t xml:space="preserve">Point de vigilance </w:t>
      </w:r>
      <w:r w:rsidRPr="00BF0F1B">
        <w:rPr>
          <w:b/>
          <w:color w:val="000000" w:themeColor="text1"/>
        </w:rPr>
        <w:t>pour les communes FRR «</w:t>
      </w:r>
      <w:r w:rsidRPr="00BF0F1B">
        <w:rPr>
          <w:rFonts w:ascii="Calibri" w:hAnsi="Calibri" w:cs="Calibri"/>
          <w:b/>
          <w:color w:val="000000" w:themeColor="text1"/>
        </w:rPr>
        <w:t> </w:t>
      </w:r>
      <w:r w:rsidRPr="00BF0F1B">
        <w:rPr>
          <w:b/>
          <w:color w:val="000000" w:themeColor="text1"/>
        </w:rPr>
        <w:t>bénéficiaires</w:t>
      </w:r>
      <w:r w:rsidRPr="00BF0F1B">
        <w:rPr>
          <w:rFonts w:ascii="Calibri" w:hAnsi="Calibri" w:cs="Calibri"/>
          <w:b/>
          <w:color w:val="000000" w:themeColor="text1"/>
        </w:rPr>
        <w:t> </w:t>
      </w:r>
      <w:r w:rsidRPr="00BF0F1B">
        <w:rPr>
          <w:rFonts w:cs="Marianne"/>
          <w:b/>
          <w:color w:val="000000" w:themeColor="text1"/>
        </w:rPr>
        <w:t>»</w:t>
      </w:r>
      <w:r w:rsidRPr="00BF0F1B">
        <w:rPr>
          <w:b/>
          <w:color w:val="000000" w:themeColor="text1"/>
        </w:rPr>
        <w:t xml:space="preserve"> :</w:t>
      </w:r>
      <w:r w:rsidRPr="00BF0F1B">
        <w:rPr>
          <w:color w:val="000000" w:themeColor="text1"/>
          <w:u w:val="single"/>
        </w:rPr>
        <w:t xml:space="preserve"> </w:t>
      </w:r>
    </w:p>
    <w:p w14:paraId="7F75A667" w14:textId="3AAFE282" w:rsidR="001E01AF" w:rsidRPr="00BF0F1B" w:rsidRDefault="00AF646F">
      <w:pPr>
        <w:pStyle w:val="Paragraphedeliste"/>
        <w:numPr>
          <w:ilvl w:val="0"/>
          <w:numId w:val="32"/>
        </w:numPr>
        <w:jc w:val="both"/>
        <w:rPr>
          <w:color w:val="000000" w:themeColor="text1"/>
        </w:rPr>
      </w:pPr>
      <w:r w:rsidRPr="00BF0F1B">
        <w:rPr>
          <w:color w:val="000000" w:themeColor="text1"/>
        </w:rPr>
        <w:t xml:space="preserve">Il </w:t>
      </w:r>
      <w:r w:rsidR="0087197D" w:rsidRPr="00BF0F1B">
        <w:rPr>
          <w:color w:val="000000" w:themeColor="text1"/>
        </w:rPr>
        <w:t>importe</w:t>
      </w:r>
      <w:r w:rsidRPr="00BF0F1B">
        <w:rPr>
          <w:color w:val="000000" w:themeColor="text1"/>
        </w:rPr>
        <w:t xml:space="preserve"> que les délibérations des collectivités FRR «</w:t>
      </w:r>
      <w:r w:rsidRPr="00BF0F1B">
        <w:rPr>
          <w:rFonts w:ascii="Calibri" w:hAnsi="Calibri" w:cs="Calibri"/>
          <w:color w:val="000000" w:themeColor="text1"/>
        </w:rPr>
        <w:t> </w:t>
      </w:r>
      <w:r w:rsidRPr="00BF0F1B">
        <w:rPr>
          <w:color w:val="000000" w:themeColor="text1"/>
        </w:rPr>
        <w:t>bénéficiaires</w:t>
      </w:r>
      <w:r w:rsidRPr="00BF0F1B">
        <w:rPr>
          <w:rFonts w:ascii="Calibri" w:hAnsi="Calibri" w:cs="Calibri"/>
          <w:color w:val="000000" w:themeColor="text1"/>
        </w:rPr>
        <w:t> </w:t>
      </w:r>
      <w:r w:rsidRPr="00BF0F1B">
        <w:rPr>
          <w:rFonts w:cs="Marianne"/>
          <w:color w:val="000000" w:themeColor="text1"/>
        </w:rPr>
        <w:t>»</w:t>
      </w:r>
      <w:r w:rsidRPr="00BF0F1B">
        <w:rPr>
          <w:color w:val="000000" w:themeColor="text1"/>
        </w:rPr>
        <w:t xml:space="preserve"> fassent référence, d’une part, à l’article du CGI relatif à l’exonération fiscale concernée, et, d’autre part, au fondement juridique du dispositif des FRR «</w:t>
      </w:r>
      <w:r w:rsidRPr="00BF0F1B">
        <w:rPr>
          <w:rFonts w:ascii="Calibri" w:hAnsi="Calibri" w:cs="Calibri"/>
          <w:color w:val="000000" w:themeColor="text1"/>
        </w:rPr>
        <w:t> </w:t>
      </w:r>
      <w:r w:rsidRPr="00BF0F1B">
        <w:rPr>
          <w:color w:val="000000" w:themeColor="text1"/>
        </w:rPr>
        <w:t>bénéficiaires</w:t>
      </w:r>
      <w:r w:rsidRPr="00BF0F1B">
        <w:rPr>
          <w:rFonts w:ascii="Calibri" w:hAnsi="Calibri" w:cs="Calibri"/>
          <w:color w:val="000000" w:themeColor="text1"/>
        </w:rPr>
        <w:t> </w:t>
      </w:r>
      <w:r w:rsidRPr="00BF0F1B">
        <w:rPr>
          <w:rFonts w:cs="Marianne"/>
          <w:color w:val="000000" w:themeColor="text1"/>
        </w:rPr>
        <w:t>»</w:t>
      </w:r>
      <w:r w:rsidRPr="00BF0F1B">
        <w:rPr>
          <w:color w:val="000000" w:themeColor="text1"/>
        </w:rPr>
        <w:t xml:space="preserve"> (le IV de l’article 99 </w:t>
      </w:r>
      <w:r w:rsidR="00410884" w:rsidRPr="00BF0F1B">
        <w:rPr>
          <w:color w:val="000000" w:themeColor="text1"/>
        </w:rPr>
        <w:t xml:space="preserve">de la loi </w:t>
      </w:r>
      <w:r w:rsidRPr="00BF0F1B">
        <w:rPr>
          <w:color w:val="000000" w:themeColor="text1"/>
        </w:rPr>
        <w:t>n° 2025-127 du 14 février 2025 de finances pour 2025).</w:t>
      </w:r>
    </w:p>
    <w:p w14:paraId="77251FD1" w14:textId="5A2D5403" w:rsidR="001E01AF" w:rsidRDefault="00AF646F" w:rsidP="001E6DDB">
      <w:pPr>
        <w:pStyle w:val="Paragraphedeliste"/>
        <w:numPr>
          <w:ilvl w:val="0"/>
          <w:numId w:val="32"/>
        </w:numPr>
        <w:jc w:val="both"/>
        <w:rPr>
          <w:color w:val="000000" w:themeColor="text1"/>
        </w:rPr>
      </w:pPr>
      <w:r w:rsidRPr="00BF0F1B">
        <w:rPr>
          <w:color w:val="000000" w:themeColor="text1"/>
        </w:rPr>
        <w:t>Le dispositif des FRR «</w:t>
      </w:r>
      <w:r w:rsidRPr="00BF0F1B">
        <w:rPr>
          <w:rFonts w:ascii="Calibri" w:hAnsi="Calibri" w:cs="Calibri"/>
          <w:color w:val="000000" w:themeColor="text1"/>
        </w:rPr>
        <w:t> </w:t>
      </w:r>
      <w:r w:rsidRPr="00BF0F1B">
        <w:rPr>
          <w:color w:val="000000" w:themeColor="text1"/>
        </w:rPr>
        <w:t>bénéficiaires</w:t>
      </w:r>
      <w:r w:rsidRPr="00BF0F1B">
        <w:rPr>
          <w:rFonts w:ascii="Calibri" w:hAnsi="Calibri" w:cs="Calibri"/>
          <w:color w:val="000000" w:themeColor="text1"/>
        </w:rPr>
        <w:t> </w:t>
      </w:r>
      <w:r w:rsidRPr="00BF0F1B">
        <w:rPr>
          <w:rFonts w:cs="Marianne"/>
          <w:color w:val="000000" w:themeColor="text1"/>
        </w:rPr>
        <w:t>»</w:t>
      </w:r>
      <w:r w:rsidRPr="00BF0F1B">
        <w:rPr>
          <w:color w:val="000000" w:themeColor="text1"/>
        </w:rPr>
        <w:t xml:space="preserve"> étant transitoire, jusqu’au 31 décembre 2027, les collectivités concernées peuvent délibérer au plus tard jusqu’en 2026.</w:t>
      </w:r>
    </w:p>
    <w:p w14:paraId="17FCD98C" w14:textId="3679172F" w:rsidR="009C4855" w:rsidRDefault="009C4855" w:rsidP="009C4855">
      <w:pPr>
        <w:jc w:val="both"/>
        <w:rPr>
          <w:color w:val="000000" w:themeColor="text1"/>
        </w:rPr>
      </w:pPr>
    </w:p>
    <w:p w14:paraId="66428F5B" w14:textId="2E422543" w:rsidR="001E01AF" w:rsidRPr="00BF0F1B" w:rsidRDefault="00AF646F">
      <w:pPr>
        <w:jc w:val="both"/>
        <w:rPr>
          <w:color w:val="000000" w:themeColor="text1"/>
        </w:rPr>
      </w:pPr>
      <w:r w:rsidRPr="00BF0F1B">
        <w:rPr>
          <w:b/>
          <w:color w:val="000000" w:themeColor="text1"/>
        </w:rPr>
        <w:lastRenderedPageBreak/>
        <w:t>Trois cas de figure</w:t>
      </w:r>
      <w:r w:rsidRPr="00BF0F1B">
        <w:rPr>
          <w:color w:val="000000" w:themeColor="text1"/>
        </w:rPr>
        <w:t xml:space="preserve"> se présentent en fonction des communes concernées</w:t>
      </w:r>
      <w:r w:rsidRPr="00BF0F1B">
        <w:rPr>
          <w:rFonts w:ascii="Calibri" w:hAnsi="Calibri" w:cs="Calibri"/>
          <w:color w:val="000000" w:themeColor="text1"/>
        </w:rPr>
        <w:t> </w:t>
      </w:r>
      <w:r w:rsidRPr="00BF0F1B">
        <w:rPr>
          <w:color w:val="000000" w:themeColor="text1"/>
        </w:rPr>
        <w:t>:</w:t>
      </w:r>
    </w:p>
    <w:p w14:paraId="22828EC5" w14:textId="77777777" w:rsidR="001E01AF" w:rsidRPr="00BF0F1B" w:rsidRDefault="00AF646F">
      <w:pPr>
        <w:pStyle w:val="Paragraphedeliste"/>
        <w:numPr>
          <w:ilvl w:val="0"/>
          <w:numId w:val="37"/>
        </w:numPr>
        <w:jc w:val="both"/>
        <w:rPr>
          <w:color w:val="000000" w:themeColor="text1"/>
          <w:u w:val="single"/>
        </w:rPr>
      </w:pPr>
      <w:r w:rsidRPr="00BF0F1B">
        <w:rPr>
          <w:color w:val="000000" w:themeColor="text1"/>
          <w:u w:val="single"/>
        </w:rPr>
        <w:t>les collectivités peuvent délibérer dans les 40 jours suivant la promulgation de la loi de finances pour 2025, soit</w:t>
      </w:r>
      <w:r w:rsidRPr="00BF0F1B">
        <w:rPr>
          <w:b/>
          <w:color w:val="000000" w:themeColor="text1"/>
          <w:u w:val="single"/>
        </w:rPr>
        <w:t xml:space="preserve"> jusqu’au 26 mars 2025 inclus, pour que les contribuables (dont les entreprises) éligibles à compter du 1</w:t>
      </w:r>
      <w:r w:rsidRPr="00BF0F1B">
        <w:rPr>
          <w:b/>
          <w:color w:val="000000" w:themeColor="text1"/>
          <w:u w:val="single"/>
          <w:vertAlign w:val="superscript"/>
        </w:rPr>
        <w:t>er</w:t>
      </w:r>
      <w:r w:rsidRPr="00BF0F1B">
        <w:rPr>
          <w:b/>
          <w:color w:val="000000" w:themeColor="text1"/>
          <w:u w:val="single"/>
        </w:rPr>
        <w:t xml:space="preserve"> juillet 2024 puissent bénéficier des exonérations à partir de 2025</w:t>
      </w:r>
      <w:r w:rsidRPr="00BF0F1B">
        <w:rPr>
          <w:rFonts w:ascii="Calibri" w:hAnsi="Calibri" w:cs="Calibri"/>
          <w:b/>
          <w:color w:val="000000" w:themeColor="text1"/>
          <w:u w:val="single"/>
        </w:rPr>
        <w:t>.</w:t>
      </w:r>
    </w:p>
    <w:p w14:paraId="104EFD2E" w14:textId="71C6DD01" w:rsidR="00197D09" w:rsidRPr="00BF0F1B" w:rsidRDefault="00197D09">
      <w:pPr>
        <w:jc w:val="both"/>
        <w:rPr>
          <w:color w:val="000000" w:themeColor="text1"/>
        </w:rPr>
      </w:pPr>
      <w:r w:rsidRPr="00BF0F1B">
        <w:rPr>
          <w:color w:val="000000" w:themeColor="text1"/>
        </w:rPr>
        <w:t>C</w:t>
      </w:r>
      <w:r w:rsidR="00375404" w:rsidRPr="00BF0F1B">
        <w:rPr>
          <w:color w:val="000000" w:themeColor="text1"/>
        </w:rPr>
        <w:t>e régime</w:t>
      </w:r>
      <w:r w:rsidRPr="00BF0F1B">
        <w:rPr>
          <w:color w:val="000000" w:themeColor="text1"/>
        </w:rPr>
        <w:t xml:space="preserve"> dérogatoire est prévu par la loi de finances pour 2025 (V de l’article 99). </w:t>
      </w:r>
    </w:p>
    <w:p w14:paraId="05ABE6F3" w14:textId="1714B420" w:rsidR="001E01AF" w:rsidRPr="00BF0F1B" w:rsidRDefault="00AF646F">
      <w:pPr>
        <w:jc w:val="both"/>
        <w:rPr>
          <w:color w:val="000000" w:themeColor="text1"/>
        </w:rPr>
      </w:pPr>
      <w:r w:rsidRPr="00BF0F1B">
        <w:rPr>
          <w:color w:val="000000" w:themeColor="text1"/>
        </w:rPr>
        <w:t>Seules les collectivités suivantes sont concernées par ce délai :</w:t>
      </w:r>
    </w:p>
    <w:p w14:paraId="7271CF7F" w14:textId="70914AAA" w:rsidR="001E01AF" w:rsidRPr="00BF0F1B" w:rsidRDefault="00AF646F">
      <w:pPr>
        <w:pStyle w:val="Paragraphedeliste"/>
        <w:numPr>
          <w:ilvl w:val="0"/>
          <w:numId w:val="34"/>
        </w:numPr>
        <w:jc w:val="both"/>
      </w:pPr>
      <w:r w:rsidRPr="00BF0F1B">
        <w:t>l’ensemble des communes FRR «</w:t>
      </w:r>
      <w:r w:rsidRPr="00BF0F1B">
        <w:rPr>
          <w:rFonts w:ascii="Calibri" w:hAnsi="Calibri" w:cs="Calibri"/>
        </w:rPr>
        <w:t> </w:t>
      </w:r>
      <w:r w:rsidRPr="00BF0F1B">
        <w:t>bénéficiaires</w:t>
      </w:r>
      <w:r w:rsidRPr="00BF0F1B">
        <w:rPr>
          <w:rFonts w:ascii="Calibri" w:hAnsi="Calibri" w:cs="Calibri"/>
        </w:rPr>
        <w:t> </w:t>
      </w:r>
      <w:r w:rsidRPr="00BF0F1B">
        <w:rPr>
          <w:rFonts w:cs="Marianne"/>
        </w:rPr>
        <w:t>»</w:t>
      </w:r>
      <w:r w:rsidR="0033498A" w:rsidRPr="00BF0F1B">
        <w:rPr>
          <w:rFonts w:ascii="Calibri" w:hAnsi="Calibri" w:cs="Calibri"/>
        </w:rPr>
        <w:t> </w:t>
      </w:r>
      <w:r w:rsidR="0033498A" w:rsidRPr="00BF0F1B">
        <w:t>;</w:t>
      </w:r>
    </w:p>
    <w:p w14:paraId="354B96BF" w14:textId="77777777" w:rsidR="0033498A" w:rsidRPr="00BF0F1B" w:rsidRDefault="0033498A" w:rsidP="0033498A">
      <w:pPr>
        <w:pStyle w:val="Paragraphedeliste"/>
        <w:numPr>
          <w:ilvl w:val="0"/>
          <w:numId w:val="34"/>
        </w:numPr>
        <w:jc w:val="both"/>
      </w:pPr>
      <w:r w:rsidRPr="00BF0F1B">
        <w:t>Vinon-sur-Verdon (Var)</w:t>
      </w:r>
      <w:r w:rsidRPr="00BF0F1B">
        <w:rPr>
          <w:rFonts w:ascii="Calibri" w:hAnsi="Calibri" w:cs="Calibri"/>
        </w:rPr>
        <w:t> </w:t>
      </w:r>
      <w:r w:rsidRPr="00BF0F1B">
        <w:t>;</w:t>
      </w:r>
    </w:p>
    <w:p w14:paraId="10EA5778" w14:textId="6BD65135" w:rsidR="0033498A" w:rsidRPr="00BF0F1B" w:rsidRDefault="0033498A" w:rsidP="0033498A">
      <w:pPr>
        <w:pStyle w:val="Paragraphedeliste"/>
        <w:numPr>
          <w:ilvl w:val="0"/>
          <w:numId w:val="34"/>
        </w:numPr>
        <w:jc w:val="both"/>
      </w:pPr>
      <w:r w:rsidRPr="00BF0F1B">
        <w:t>commune nouvelle d'Ingrandes-le-Fresne-sur-Loire (Maine-et-Loire)</w:t>
      </w:r>
      <w:r w:rsidRPr="00BF0F1B">
        <w:rPr>
          <w:rFonts w:ascii="Calibri" w:hAnsi="Calibri" w:cs="Calibri"/>
        </w:rPr>
        <w:t> </w:t>
      </w:r>
      <w:r w:rsidRPr="00BF0F1B">
        <w:t>;</w:t>
      </w:r>
    </w:p>
    <w:p w14:paraId="13322264" w14:textId="77777777" w:rsidR="001E01AF" w:rsidRPr="00BF0F1B" w:rsidRDefault="00AF646F">
      <w:pPr>
        <w:jc w:val="both"/>
        <w:rPr>
          <w:color w:val="000000" w:themeColor="text1"/>
        </w:rPr>
      </w:pPr>
      <w:r w:rsidRPr="00BF0F1B">
        <w:rPr>
          <w:color w:val="000000" w:themeColor="text1"/>
        </w:rPr>
        <w:t xml:space="preserve">Les exonérations d’impôts locaux suivantes sont concernées :  </w:t>
      </w:r>
    </w:p>
    <w:p w14:paraId="055E157F" w14:textId="77777777" w:rsidR="001E01AF" w:rsidRPr="00BF0F1B" w:rsidRDefault="00AF646F">
      <w:pPr>
        <w:pStyle w:val="Paragraphedeliste"/>
        <w:numPr>
          <w:ilvl w:val="0"/>
          <w:numId w:val="33"/>
        </w:numPr>
        <w:jc w:val="both"/>
        <w:rPr>
          <w:color w:val="000000" w:themeColor="text1"/>
        </w:rPr>
      </w:pPr>
      <w:r w:rsidRPr="00BF0F1B">
        <w:rPr>
          <w:b/>
          <w:color w:val="000000" w:themeColor="text1"/>
        </w:rPr>
        <w:t>CFE</w:t>
      </w:r>
      <w:r w:rsidRPr="00BF0F1B">
        <w:rPr>
          <w:color w:val="000000" w:themeColor="text1"/>
        </w:rPr>
        <w:t xml:space="preserve"> (articles 1466 G et 1464 D du CGI) ;</w:t>
      </w:r>
    </w:p>
    <w:p w14:paraId="056B6156" w14:textId="77777777" w:rsidR="001E01AF" w:rsidRPr="00BF0F1B" w:rsidRDefault="00AF646F">
      <w:pPr>
        <w:pStyle w:val="Paragraphedeliste"/>
        <w:numPr>
          <w:ilvl w:val="0"/>
          <w:numId w:val="33"/>
        </w:numPr>
        <w:jc w:val="both"/>
        <w:rPr>
          <w:color w:val="000000" w:themeColor="text1"/>
        </w:rPr>
      </w:pPr>
      <w:r w:rsidRPr="00BF0F1B">
        <w:rPr>
          <w:b/>
          <w:color w:val="000000" w:themeColor="text1"/>
        </w:rPr>
        <w:t>TFPB</w:t>
      </w:r>
      <w:r w:rsidRPr="00BF0F1B">
        <w:rPr>
          <w:color w:val="000000" w:themeColor="text1"/>
        </w:rPr>
        <w:t xml:space="preserve"> (articles 1383 E, 1383 E bis, et 1383 K du CGI) ;</w:t>
      </w:r>
    </w:p>
    <w:p w14:paraId="0381DC90" w14:textId="77777777" w:rsidR="001E01AF" w:rsidRPr="00BF0F1B" w:rsidRDefault="00AF646F">
      <w:pPr>
        <w:pStyle w:val="Paragraphedeliste"/>
        <w:numPr>
          <w:ilvl w:val="0"/>
          <w:numId w:val="33"/>
        </w:numPr>
        <w:jc w:val="both"/>
        <w:rPr>
          <w:color w:val="000000" w:themeColor="text1"/>
        </w:rPr>
      </w:pPr>
      <w:r w:rsidRPr="00BF0F1B">
        <w:rPr>
          <w:b/>
          <w:color w:val="000000" w:themeColor="text1"/>
        </w:rPr>
        <w:t>Taxe d'habitation sur les résidences secondaires</w:t>
      </w:r>
      <w:r w:rsidRPr="00BF0F1B">
        <w:rPr>
          <w:color w:val="000000" w:themeColor="text1"/>
        </w:rPr>
        <w:t xml:space="preserve"> (article 1414 bis du CGI).</w:t>
      </w:r>
    </w:p>
    <w:p w14:paraId="27F73C42" w14:textId="77777777" w:rsidR="001E01AF" w:rsidRPr="00BF0F1B" w:rsidRDefault="00AF646F">
      <w:pPr>
        <w:jc w:val="both"/>
        <w:rPr>
          <w:color w:val="000000" w:themeColor="text1"/>
        </w:rPr>
      </w:pPr>
      <w:r w:rsidRPr="00BF0F1B">
        <w:rPr>
          <w:color w:val="000000" w:themeColor="text1"/>
        </w:rPr>
        <w:t>Les collectivités ayant délibéré devront transmettre leurs délibérations au représentant de l’Etat dans les 15 jours après la date limite de leur adoption (soit le 10 avril 2025 au plus tard) qui transmettra ensuite aux services fiscaux.</w:t>
      </w:r>
    </w:p>
    <w:p w14:paraId="74C2BD7C" w14:textId="63B970D3" w:rsidR="00940D99" w:rsidRPr="00BF0F1B" w:rsidRDefault="00AF646F">
      <w:pPr>
        <w:jc w:val="both"/>
        <w:rPr>
          <w:color w:val="000000" w:themeColor="text1"/>
        </w:rPr>
      </w:pPr>
      <w:r w:rsidRPr="00BF0F1B">
        <w:rPr>
          <w:color w:val="000000" w:themeColor="text1"/>
        </w:rPr>
        <w:t>Les entreprises et propriétaires qui souhaitent bénéficier des exonérations de CFE (article</w:t>
      </w:r>
      <w:r w:rsidR="00172790" w:rsidRPr="00BF0F1B">
        <w:rPr>
          <w:color w:val="000000" w:themeColor="text1"/>
        </w:rPr>
        <w:t>s 1464 D et</w:t>
      </w:r>
      <w:r w:rsidRPr="00BF0F1B">
        <w:rPr>
          <w:color w:val="000000" w:themeColor="text1"/>
        </w:rPr>
        <w:t xml:space="preserve"> 1466 G du CGI) et de TFPB (article</w:t>
      </w:r>
      <w:r w:rsidR="00172790" w:rsidRPr="00BF0F1B">
        <w:rPr>
          <w:color w:val="000000" w:themeColor="text1"/>
        </w:rPr>
        <w:t>s 1383 E et</w:t>
      </w:r>
      <w:r w:rsidRPr="00BF0F1B">
        <w:rPr>
          <w:color w:val="000000" w:themeColor="text1"/>
        </w:rPr>
        <w:t xml:space="preserve"> 1383 K du CGI) au titre de 2025 en font la demande au service des impôts dont relèvent chacun de leurs établissements et biens concernés au plus tard le 5 mai 2025.</w:t>
      </w:r>
    </w:p>
    <w:p w14:paraId="7AF3161E" w14:textId="77777777" w:rsidR="001E01AF" w:rsidRPr="00BF0F1B" w:rsidRDefault="00AF646F">
      <w:pPr>
        <w:pStyle w:val="Paragraphedeliste"/>
        <w:numPr>
          <w:ilvl w:val="0"/>
          <w:numId w:val="37"/>
        </w:numPr>
        <w:jc w:val="both"/>
        <w:rPr>
          <w:color w:val="000000" w:themeColor="text1"/>
          <w:u w:val="single"/>
        </w:rPr>
      </w:pPr>
      <w:r w:rsidRPr="00BF0F1B">
        <w:rPr>
          <w:b/>
          <w:color w:val="000000" w:themeColor="text1"/>
          <w:u w:val="single"/>
        </w:rPr>
        <w:t>les collectivités précitées</w:t>
      </w:r>
      <w:r w:rsidRPr="00BF0F1B">
        <w:rPr>
          <w:rStyle w:val="Ancredenotedebasdepage"/>
          <w:color w:val="000000" w:themeColor="text1"/>
          <w:u w:val="single"/>
        </w:rPr>
        <w:footnoteReference w:id="14"/>
      </w:r>
      <w:r w:rsidRPr="00BF0F1B">
        <w:rPr>
          <w:b/>
          <w:color w:val="000000" w:themeColor="text1"/>
          <w:u w:val="single"/>
        </w:rPr>
        <w:t>,</w:t>
      </w:r>
      <w:r w:rsidRPr="00BF0F1B">
        <w:rPr>
          <w:color w:val="000000" w:themeColor="text1"/>
          <w:u w:val="single"/>
        </w:rPr>
        <w:t xml:space="preserve"> qui n’auraient pas délibéré dans le délai de 40 jours, peuvent toujours délibérer avant le 1</w:t>
      </w:r>
      <w:r w:rsidRPr="00BF0F1B">
        <w:rPr>
          <w:color w:val="000000" w:themeColor="text1"/>
          <w:u w:val="single"/>
          <w:vertAlign w:val="superscript"/>
        </w:rPr>
        <w:t>er</w:t>
      </w:r>
      <w:r w:rsidRPr="00BF0F1B">
        <w:rPr>
          <w:color w:val="000000" w:themeColor="text1"/>
          <w:u w:val="single"/>
        </w:rPr>
        <w:t xml:space="preserve"> octobre de l’année N. Pour l’année en cours, les collectivités concernées </w:t>
      </w:r>
      <w:r w:rsidRPr="00BF0F1B">
        <w:rPr>
          <w:b/>
          <w:color w:val="000000" w:themeColor="text1"/>
          <w:u w:val="single"/>
        </w:rPr>
        <w:t>peuvent ainsi délibérer</w:t>
      </w:r>
      <w:r w:rsidRPr="00BF0F1B">
        <w:rPr>
          <w:color w:val="000000" w:themeColor="text1"/>
          <w:u w:val="single"/>
        </w:rPr>
        <w:t xml:space="preserve"> </w:t>
      </w:r>
      <w:r w:rsidRPr="00BF0F1B">
        <w:rPr>
          <w:b/>
          <w:color w:val="000000" w:themeColor="text1"/>
          <w:u w:val="single"/>
        </w:rPr>
        <w:t>entre le 27 mars 2025 et le 30 septembre 2025</w:t>
      </w:r>
      <w:r w:rsidRPr="00BF0F1B">
        <w:rPr>
          <w:rFonts w:ascii="Calibri" w:hAnsi="Calibri" w:cs="Calibri"/>
          <w:b/>
          <w:color w:val="000000" w:themeColor="text1"/>
          <w:u w:val="single"/>
        </w:rPr>
        <w:t> </w:t>
      </w:r>
      <w:r w:rsidRPr="00BF0F1B">
        <w:rPr>
          <w:b/>
          <w:color w:val="000000" w:themeColor="text1"/>
          <w:u w:val="single"/>
        </w:rPr>
        <w:t>:</w:t>
      </w:r>
    </w:p>
    <w:p w14:paraId="5AA47575" w14:textId="77777777" w:rsidR="001E01AF" w:rsidRPr="00BF0F1B" w:rsidRDefault="001E01AF">
      <w:pPr>
        <w:pStyle w:val="Paragraphedeliste"/>
        <w:jc w:val="both"/>
        <w:rPr>
          <w:color w:val="000000" w:themeColor="text1"/>
          <w:u w:val="single"/>
        </w:rPr>
      </w:pPr>
    </w:p>
    <w:p w14:paraId="723AED61" w14:textId="77777777" w:rsidR="001E01AF" w:rsidRPr="00BF0F1B" w:rsidRDefault="00AF646F">
      <w:pPr>
        <w:pStyle w:val="Paragraphedeliste"/>
        <w:numPr>
          <w:ilvl w:val="0"/>
          <w:numId w:val="35"/>
        </w:numPr>
        <w:jc w:val="both"/>
        <w:rPr>
          <w:color w:val="000000" w:themeColor="text1"/>
          <w:u w:val="single"/>
        </w:rPr>
      </w:pPr>
      <w:r w:rsidRPr="00BF0F1B">
        <w:rPr>
          <w:color w:val="000000" w:themeColor="text1"/>
        </w:rPr>
        <w:t xml:space="preserve">pour que les entreprises créées ou reprises à compter 2026 puissent bénéficier des exonérations de CFE (article 1466 G du CGI) et de TFPB (article 1383 K du CGI) </w:t>
      </w:r>
      <w:r w:rsidRPr="00BF0F1B">
        <w:rPr>
          <w:b/>
          <w:color w:val="000000" w:themeColor="text1"/>
        </w:rPr>
        <w:t>à partir de 2027</w:t>
      </w:r>
      <w:r w:rsidRPr="00BF0F1B">
        <w:rPr>
          <w:rFonts w:ascii="Calibri" w:hAnsi="Calibri" w:cs="Calibri"/>
          <w:b/>
          <w:color w:val="000000" w:themeColor="text1"/>
        </w:rPr>
        <w:t> </w:t>
      </w:r>
      <w:r w:rsidRPr="00BF0F1B">
        <w:rPr>
          <w:color w:val="000000" w:themeColor="text1"/>
        </w:rPr>
        <w:t>;</w:t>
      </w:r>
    </w:p>
    <w:p w14:paraId="59B1A74F" w14:textId="77777777" w:rsidR="001E01AF" w:rsidRPr="00BF0F1B" w:rsidRDefault="00AF646F">
      <w:pPr>
        <w:pStyle w:val="Paragraphedeliste"/>
        <w:numPr>
          <w:ilvl w:val="0"/>
          <w:numId w:val="35"/>
        </w:numPr>
        <w:jc w:val="both"/>
        <w:rPr>
          <w:color w:val="000000" w:themeColor="text1"/>
          <w:u w:val="single"/>
        </w:rPr>
      </w:pPr>
      <w:r w:rsidRPr="00BF0F1B">
        <w:rPr>
          <w:color w:val="000000" w:themeColor="text1"/>
        </w:rPr>
        <w:t xml:space="preserve">pour que les médecins et auxiliaires médicaux installés à compter de 2026 puissent bénéficier des exonérations de CFE (article 1464 D du CGI) </w:t>
      </w:r>
      <w:r w:rsidRPr="00BF0F1B">
        <w:rPr>
          <w:b/>
          <w:color w:val="000000" w:themeColor="text1"/>
        </w:rPr>
        <w:t>à partir de 2027</w:t>
      </w:r>
      <w:r w:rsidRPr="00BF0F1B">
        <w:rPr>
          <w:rFonts w:ascii="Calibri" w:hAnsi="Calibri" w:cs="Calibri"/>
          <w:b/>
          <w:color w:val="000000" w:themeColor="text1"/>
        </w:rPr>
        <w:t> </w:t>
      </w:r>
      <w:r w:rsidRPr="00BF0F1B">
        <w:rPr>
          <w:color w:val="000000" w:themeColor="text1"/>
        </w:rPr>
        <w:t>;</w:t>
      </w:r>
    </w:p>
    <w:p w14:paraId="0F6C7252" w14:textId="77777777" w:rsidR="001E01AF" w:rsidRPr="00BF0F1B" w:rsidRDefault="00AF646F">
      <w:pPr>
        <w:pStyle w:val="Paragraphedeliste"/>
        <w:numPr>
          <w:ilvl w:val="0"/>
          <w:numId w:val="35"/>
        </w:numPr>
        <w:jc w:val="both"/>
        <w:rPr>
          <w:color w:val="000000" w:themeColor="text1"/>
          <w:u w:val="single"/>
        </w:rPr>
      </w:pPr>
      <w:r w:rsidRPr="00BF0F1B">
        <w:rPr>
          <w:color w:val="000000" w:themeColor="text1"/>
        </w:rPr>
        <w:t xml:space="preserve">pour que les hôtels, meublés de tourisme et chambres d'hôtes puissent bénéficier des exonérations de TFPB (article 1383 E bis du CGI) et de taxe d’habitation (article 1414 bis du CGI) </w:t>
      </w:r>
      <w:r w:rsidRPr="00BF0F1B">
        <w:rPr>
          <w:b/>
          <w:color w:val="000000" w:themeColor="text1"/>
        </w:rPr>
        <w:t>à partir de 2026</w:t>
      </w:r>
      <w:r w:rsidRPr="00BF0F1B">
        <w:rPr>
          <w:rFonts w:ascii="Calibri" w:hAnsi="Calibri" w:cs="Calibri"/>
          <w:b/>
          <w:color w:val="000000" w:themeColor="text1"/>
        </w:rPr>
        <w:t> </w:t>
      </w:r>
      <w:r w:rsidRPr="00BF0F1B">
        <w:rPr>
          <w:b/>
          <w:color w:val="000000" w:themeColor="text1"/>
        </w:rPr>
        <w:t>;</w:t>
      </w:r>
    </w:p>
    <w:p w14:paraId="4E6A677D" w14:textId="00CFCFFA" w:rsidR="001E01AF" w:rsidRPr="00BF0F1B" w:rsidRDefault="00AF646F">
      <w:pPr>
        <w:pStyle w:val="Paragraphedeliste"/>
        <w:numPr>
          <w:ilvl w:val="0"/>
          <w:numId w:val="35"/>
        </w:numPr>
        <w:jc w:val="both"/>
        <w:rPr>
          <w:color w:val="000000" w:themeColor="text1"/>
          <w:u w:val="single"/>
        </w:rPr>
      </w:pPr>
      <w:r w:rsidRPr="00BF0F1B">
        <w:rPr>
          <w:color w:val="000000" w:themeColor="text1"/>
        </w:rPr>
        <w:lastRenderedPageBreak/>
        <w:t xml:space="preserve">pour que les logements dont les travaux d’amélioration se sont achevés à compter de </w:t>
      </w:r>
      <w:r w:rsidRPr="00BF0F1B">
        <w:t xml:space="preserve">2025 puissent bénéficier de l’exonération de TFPB (article 1383 E du CGI) </w:t>
      </w:r>
      <w:r w:rsidRPr="00BF0F1B">
        <w:rPr>
          <w:b/>
        </w:rPr>
        <w:t>à partir de 2026</w:t>
      </w:r>
      <w:r w:rsidRPr="00BF0F1B">
        <w:t xml:space="preserve">. </w:t>
      </w:r>
    </w:p>
    <w:p w14:paraId="63110CFC" w14:textId="77777777" w:rsidR="001E01AF" w:rsidRPr="00BF0F1B" w:rsidRDefault="001E01AF">
      <w:pPr>
        <w:pStyle w:val="Paragraphedeliste"/>
        <w:jc w:val="both"/>
        <w:rPr>
          <w:color w:val="000000" w:themeColor="text1"/>
          <w:u w:val="single"/>
        </w:rPr>
      </w:pPr>
    </w:p>
    <w:p w14:paraId="202C12F0" w14:textId="234AA108" w:rsidR="001E01AF" w:rsidRPr="00BF0F1B" w:rsidRDefault="00AF646F">
      <w:pPr>
        <w:pStyle w:val="Paragraphedeliste"/>
        <w:numPr>
          <w:ilvl w:val="0"/>
          <w:numId w:val="37"/>
        </w:numPr>
        <w:jc w:val="both"/>
        <w:rPr>
          <w:rFonts w:cs="Arial"/>
          <w:b/>
          <w:u w:val="single"/>
        </w:rPr>
      </w:pPr>
      <w:r w:rsidRPr="00BF0F1B">
        <w:rPr>
          <w:rFonts w:cs="Arial"/>
          <w:b/>
          <w:u w:val="single"/>
        </w:rPr>
        <w:t xml:space="preserve">Les collectivités suivantes, </w:t>
      </w:r>
      <w:r w:rsidRPr="00BF0F1B">
        <w:rPr>
          <w:rFonts w:cs="Arial"/>
          <w:u w:val="single"/>
        </w:rPr>
        <w:t xml:space="preserve">classées en FRR </w:t>
      </w:r>
      <w:r w:rsidR="007E017A" w:rsidRPr="00BF0F1B">
        <w:rPr>
          <w:rFonts w:cs="Arial"/>
          <w:u w:val="single"/>
        </w:rPr>
        <w:t xml:space="preserve">par </w:t>
      </w:r>
      <w:r w:rsidRPr="00BF0F1B">
        <w:rPr>
          <w:rFonts w:cs="Arial"/>
          <w:u w:val="single"/>
        </w:rPr>
        <w:t>la loi de finances pour 2025,</w:t>
      </w:r>
      <w:r w:rsidRPr="00BF0F1B">
        <w:rPr>
          <w:rFonts w:cs="Arial"/>
          <w:b/>
          <w:u w:val="single"/>
        </w:rPr>
        <w:t xml:space="preserve"> peuvent également délibérer avant le 1</w:t>
      </w:r>
      <w:r w:rsidRPr="00BF0F1B">
        <w:rPr>
          <w:rFonts w:cs="Arial"/>
          <w:b/>
          <w:u w:val="single"/>
          <w:vertAlign w:val="superscript"/>
        </w:rPr>
        <w:t>er</w:t>
      </w:r>
      <w:r w:rsidRPr="00BF0F1B">
        <w:rPr>
          <w:rFonts w:cs="Arial"/>
          <w:b/>
          <w:u w:val="single"/>
        </w:rPr>
        <w:t xml:space="preserve"> octobre 2025</w:t>
      </w:r>
      <w:r w:rsidRPr="00BF0F1B">
        <w:rPr>
          <w:rFonts w:ascii="Calibri" w:hAnsi="Calibri" w:cs="Calibri"/>
          <w:b/>
          <w:u w:val="single"/>
        </w:rPr>
        <w:t> </w:t>
      </w:r>
      <w:r w:rsidRPr="00BF0F1B">
        <w:rPr>
          <w:rFonts w:cs="Arial"/>
          <w:b/>
          <w:u w:val="single"/>
        </w:rPr>
        <w:t>:</w:t>
      </w:r>
    </w:p>
    <w:p w14:paraId="55DF5089" w14:textId="77777777" w:rsidR="001E01AF" w:rsidRPr="00BF0F1B" w:rsidRDefault="001E01AF">
      <w:pPr>
        <w:pStyle w:val="Paragraphedeliste"/>
        <w:jc w:val="both"/>
      </w:pPr>
    </w:p>
    <w:p w14:paraId="73217F51" w14:textId="77777777" w:rsidR="001E01AF" w:rsidRPr="00BF0F1B" w:rsidRDefault="00AF646F">
      <w:pPr>
        <w:pStyle w:val="Paragraphedeliste"/>
        <w:numPr>
          <w:ilvl w:val="0"/>
          <w:numId w:val="36"/>
        </w:numPr>
        <w:jc w:val="both"/>
      </w:pPr>
      <w:r w:rsidRPr="00BF0F1B">
        <w:t>41 communes de la communauté de communes (CC) du Réolais en Sud-Gironde (Gironde)</w:t>
      </w:r>
      <w:r w:rsidRPr="00BF0F1B">
        <w:rPr>
          <w:rFonts w:ascii="Calibri" w:hAnsi="Calibri" w:cs="Calibri"/>
        </w:rPr>
        <w:t> </w:t>
      </w:r>
      <w:r w:rsidRPr="00BF0F1B">
        <w:t>;</w:t>
      </w:r>
    </w:p>
    <w:p w14:paraId="671E47AD" w14:textId="7CEA3BFC" w:rsidR="001E01AF" w:rsidRPr="00BF0F1B" w:rsidRDefault="00AF646F">
      <w:pPr>
        <w:pStyle w:val="Paragraphedeliste"/>
        <w:numPr>
          <w:ilvl w:val="0"/>
          <w:numId w:val="36"/>
        </w:numPr>
        <w:jc w:val="both"/>
      </w:pPr>
      <w:r w:rsidRPr="00BF0F1B">
        <w:t>31 communes de la CC Castillon/Pujols (Gironde)</w:t>
      </w:r>
      <w:r w:rsidRPr="00BF0F1B">
        <w:rPr>
          <w:rFonts w:ascii="Calibri" w:hAnsi="Calibri" w:cs="Calibri"/>
        </w:rPr>
        <w:t> </w:t>
      </w:r>
      <w:r w:rsidRPr="00BF0F1B">
        <w:t>;</w:t>
      </w:r>
    </w:p>
    <w:p w14:paraId="0FB09E6E" w14:textId="77777777" w:rsidR="001E01AF" w:rsidRPr="00BF0F1B" w:rsidRDefault="00AF646F">
      <w:pPr>
        <w:pStyle w:val="Paragraphedeliste"/>
        <w:numPr>
          <w:ilvl w:val="0"/>
          <w:numId w:val="36"/>
        </w:numPr>
        <w:jc w:val="both"/>
      </w:pPr>
      <w:r w:rsidRPr="00BF0F1B">
        <w:t>42 communes de la CC Cœur de l’Avesnois (Nord) (la commune de Beaurepaire-sur-Sambre étant déjà classée FRR depuis le 1</w:t>
      </w:r>
      <w:r w:rsidRPr="00BF0F1B">
        <w:rPr>
          <w:vertAlign w:val="superscript"/>
        </w:rPr>
        <w:t>er</w:t>
      </w:r>
      <w:r w:rsidRPr="00BF0F1B">
        <w:t xml:space="preserve"> juillet 2024).</w:t>
      </w:r>
    </w:p>
    <w:p w14:paraId="05BA88A1" w14:textId="77777777" w:rsidR="001E01AF" w:rsidRDefault="00AF646F">
      <w:pPr>
        <w:jc w:val="both"/>
        <w:rPr>
          <w:rFonts w:cs="Arial"/>
        </w:rPr>
      </w:pPr>
      <w:r w:rsidRPr="00BF0F1B">
        <w:rPr>
          <w:rFonts w:cs="Arial"/>
        </w:rPr>
        <w:t>Les exonérations fiscales concernées et les modalités de mise en œuvre sont les mêmes que celles détaillées au point II) précédent.</w:t>
      </w:r>
    </w:p>
    <w:p w14:paraId="630FBD0A" w14:textId="77777777" w:rsidR="00FF3876" w:rsidRDefault="00FF3876">
      <w:pPr>
        <w:jc w:val="both"/>
        <w:rPr>
          <w:b/>
          <w:i/>
          <w:color w:val="000000" w:themeColor="text1"/>
          <w:u w:val="single"/>
        </w:rPr>
      </w:pPr>
    </w:p>
    <w:p w14:paraId="1B2ED683" w14:textId="76F6545F" w:rsidR="001E01AF" w:rsidRPr="00FD362E" w:rsidRDefault="00AF646F" w:rsidP="00E947CD">
      <w:pPr>
        <w:pStyle w:val="Titre4"/>
        <w:numPr>
          <w:ilvl w:val="2"/>
          <w:numId w:val="25"/>
        </w:numPr>
        <w:jc w:val="both"/>
        <w:rPr>
          <w:rFonts w:ascii="Marianne" w:hAnsi="Marianne"/>
          <w:b/>
          <w:color w:val="auto"/>
          <w:u w:val="single"/>
        </w:rPr>
      </w:pPr>
      <w:bookmarkStart w:id="76" w:name="_Toc192849403"/>
      <w:r w:rsidRPr="00FD362E">
        <w:rPr>
          <w:rFonts w:ascii="Marianne" w:hAnsi="Marianne"/>
          <w:b/>
          <w:color w:val="auto"/>
          <w:u w:val="single"/>
        </w:rPr>
        <w:t>Quelles sont les entreprises, les activités et les opérations éligibles aux dispositifs d’exonérations fiscales ?</w:t>
      </w:r>
      <w:bookmarkEnd w:id="76"/>
    </w:p>
    <w:p w14:paraId="6EE8141D" w14:textId="77777777" w:rsidR="001E01AF" w:rsidRDefault="00AF646F">
      <w:pPr>
        <w:pStyle w:val="NormalWeb"/>
        <w:spacing w:before="280" w:after="280"/>
        <w:ind w:left="720"/>
        <w:jc w:val="both"/>
        <w:rPr>
          <w:rFonts w:ascii="Marianne" w:hAnsi="Marianne"/>
          <w:sz w:val="22"/>
          <w:szCs w:val="22"/>
        </w:rPr>
      </w:pPr>
      <w:r>
        <w:rPr>
          <w:rFonts w:ascii="Marianne" w:hAnsi="Marianne"/>
          <w:b/>
          <w:sz w:val="22"/>
          <w:szCs w:val="22"/>
        </w:rPr>
        <w:t>En FRR</w:t>
      </w:r>
      <w:r>
        <w:rPr>
          <w:rFonts w:ascii="Marianne" w:hAnsi="Marianne"/>
          <w:sz w:val="22"/>
          <w:szCs w:val="22"/>
        </w:rPr>
        <w:t>, les entreprises éligibles doivent remplir les conditions suivantes :</w:t>
      </w:r>
    </w:p>
    <w:p w14:paraId="58588309" w14:textId="77777777" w:rsidR="001E01AF" w:rsidRDefault="00AF646F">
      <w:pPr>
        <w:pStyle w:val="NormalWeb"/>
        <w:numPr>
          <w:ilvl w:val="0"/>
          <w:numId w:val="5"/>
        </w:numPr>
        <w:spacing w:before="280" w:after="0"/>
        <w:jc w:val="both"/>
        <w:rPr>
          <w:rFonts w:ascii="Marianne" w:hAnsi="Marianne"/>
          <w:sz w:val="22"/>
          <w:szCs w:val="22"/>
        </w:rPr>
      </w:pPr>
      <w:r>
        <w:rPr>
          <w:rFonts w:ascii="Marianne" w:hAnsi="Marianne"/>
          <w:sz w:val="22"/>
          <w:szCs w:val="22"/>
        </w:rPr>
        <w:t>Etre soumises de plein droit ou sur option à un régime réel d’imposition</w:t>
      </w:r>
      <w:r>
        <w:rPr>
          <w:rFonts w:ascii="Calibri" w:hAnsi="Calibri" w:cs="Calibri"/>
          <w:sz w:val="22"/>
          <w:szCs w:val="22"/>
        </w:rPr>
        <w:t> </w:t>
      </w:r>
      <w:r>
        <w:rPr>
          <w:rFonts w:ascii="Marianne" w:hAnsi="Marianne"/>
          <w:sz w:val="22"/>
          <w:szCs w:val="22"/>
        </w:rPr>
        <w:t>;</w:t>
      </w:r>
    </w:p>
    <w:p w14:paraId="56A7DCB1" w14:textId="76B81269" w:rsidR="001E01AF" w:rsidRPr="00555966" w:rsidRDefault="008C58A3">
      <w:pPr>
        <w:pStyle w:val="NormalWeb"/>
        <w:numPr>
          <w:ilvl w:val="0"/>
          <w:numId w:val="5"/>
        </w:numPr>
        <w:spacing w:after="0"/>
        <w:jc w:val="both"/>
        <w:rPr>
          <w:rFonts w:ascii="Marianne" w:hAnsi="Marianne"/>
          <w:sz w:val="22"/>
          <w:szCs w:val="22"/>
        </w:rPr>
      </w:pPr>
      <w:r>
        <w:rPr>
          <w:rFonts w:cs="Arial"/>
          <w:noProof/>
        </w:rPr>
        <mc:AlternateContent>
          <mc:Choice Requires="wps">
            <w:drawing>
              <wp:anchor distT="0" distB="0" distL="114300" distR="114300" simplePos="0" relativeHeight="251667456" behindDoc="0" locked="0" layoutInCell="1" allowOverlap="1" wp14:anchorId="45D8B805" wp14:editId="2F7E30A5">
                <wp:simplePos x="0" y="0"/>
                <wp:positionH relativeFrom="column">
                  <wp:posOffset>-871855</wp:posOffset>
                </wp:positionH>
                <wp:positionV relativeFrom="paragraph">
                  <wp:posOffset>495935</wp:posOffset>
                </wp:positionV>
                <wp:extent cx="809296" cy="294289"/>
                <wp:effectExtent l="0" t="0" r="10160" b="10795"/>
                <wp:wrapNone/>
                <wp:docPr id="10" name="Rectangle à coins arrondis 10"/>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13877" w14:textId="77777777" w:rsidR="008C58A3" w:rsidRPr="00774AB8" w:rsidRDefault="008C58A3" w:rsidP="008C58A3">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8B805" id="Rectangle à coins arrondis 10" o:spid="_x0000_s1032" style="position:absolute;left:0;text-align:left;margin-left:-68.65pt;margin-top:39.05pt;width:63.7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" fillcolor="#b4c6e7 [1304]" strokecolor="black [3213]" strokeweight="1pt">
                <v:stroke joinstyle="miter"/>
                <v:textbox>
                  <w:txbxContent>
                    <w:p w14:paraId="23F13877" w14:textId="77777777" w:rsidR="008C58A3" w:rsidRPr="00774AB8" w:rsidRDefault="008C58A3" w:rsidP="008C58A3">
                      <w:pPr>
                        <w:jc w:val="center"/>
                        <w:rPr>
                          <w:b/>
                        </w:rPr>
                      </w:pPr>
                      <w:r w:rsidRPr="00774AB8">
                        <w:rPr>
                          <w:b/>
                          <w:sz w:val="20"/>
                        </w:rPr>
                        <w:t>Nouve</w:t>
                      </w:r>
                      <w:r w:rsidRPr="00774AB8">
                        <w:rPr>
                          <w:b/>
                        </w:rPr>
                        <w:t>au</w:t>
                      </w:r>
                    </w:p>
                  </w:txbxContent>
                </v:textbox>
              </v:roundrect>
            </w:pict>
          </mc:Fallback>
        </mc:AlternateContent>
      </w:r>
      <w:r w:rsidR="00AF646F">
        <w:rPr>
          <w:rFonts w:ascii="Marianne" w:hAnsi="Marianne"/>
          <w:sz w:val="22"/>
          <w:szCs w:val="22"/>
        </w:rPr>
        <w:t>Etre créées ou reprises entre le 1</w:t>
      </w:r>
      <w:r w:rsidR="00AF646F">
        <w:rPr>
          <w:rFonts w:ascii="Marianne" w:hAnsi="Marianne"/>
          <w:sz w:val="22"/>
          <w:szCs w:val="22"/>
          <w:vertAlign w:val="superscript"/>
        </w:rPr>
        <w:t>er</w:t>
      </w:r>
      <w:r w:rsidR="00AF646F">
        <w:rPr>
          <w:rFonts w:ascii="Calibri" w:hAnsi="Calibri"/>
          <w:sz w:val="22"/>
          <w:szCs w:val="22"/>
        </w:rPr>
        <w:t> </w:t>
      </w:r>
      <w:r w:rsidR="00AF646F">
        <w:rPr>
          <w:rFonts w:ascii="Marianne" w:hAnsi="Marianne"/>
          <w:sz w:val="22"/>
          <w:szCs w:val="22"/>
        </w:rPr>
        <w:t>juillet 2024 et le 31 décembre 2029</w:t>
      </w:r>
      <w:r w:rsidR="00555966">
        <w:rPr>
          <w:rFonts w:ascii="Marianne" w:hAnsi="Marianne"/>
          <w:sz w:val="22"/>
          <w:szCs w:val="22"/>
        </w:rPr>
        <w:t xml:space="preserve"> pour les entreprises situées dans une commune «</w:t>
      </w:r>
      <w:r w:rsidR="00555966">
        <w:rPr>
          <w:rFonts w:ascii="Calibri" w:hAnsi="Calibri" w:cs="Calibri"/>
          <w:sz w:val="22"/>
          <w:szCs w:val="22"/>
        </w:rPr>
        <w:t> </w:t>
      </w:r>
      <w:r w:rsidR="00555966">
        <w:rPr>
          <w:rFonts w:ascii="Marianne" w:hAnsi="Marianne"/>
          <w:sz w:val="22"/>
          <w:szCs w:val="22"/>
        </w:rPr>
        <w:t>classée</w:t>
      </w:r>
      <w:r w:rsidR="00555966">
        <w:rPr>
          <w:rFonts w:ascii="Calibri" w:hAnsi="Calibri" w:cs="Calibri"/>
          <w:sz w:val="22"/>
          <w:szCs w:val="22"/>
        </w:rPr>
        <w:t> </w:t>
      </w:r>
      <w:r w:rsidR="00555966">
        <w:rPr>
          <w:rFonts w:ascii="Marianne" w:hAnsi="Marianne" w:cs="Marianne"/>
          <w:sz w:val="22"/>
          <w:szCs w:val="22"/>
        </w:rPr>
        <w:t>»</w:t>
      </w:r>
      <w:r w:rsidR="00555966">
        <w:rPr>
          <w:rFonts w:ascii="Marianne" w:hAnsi="Marianne"/>
          <w:sz w:val="22"/>
          <w:szCs w:val="22"/>
        </w:rPr>
        <w:t xml:space="preserve"> FRR</w:t>
      </w:r>
      <w:r w:rsidR="00555966">
        <w:rPr>
          <w:rFonts w:ascii="Calibri" w:hAnsi="Calibri" w:cs="Calibri"/>
          <w:sz w:val="22"/>
          <w:szCs w:val="22"/>
        </w:rPr>
        <w:t> </w:t>
      </w:r>
      <w:r w:rsidR="00555966">
        <w:rPr>
          <w:rFonts w:ascii="Marianne" w:hAnsi="Marianne"/>
          <w:sz w:val="22"/>
          <w:szCs w:val="22"/>
        </w:rPr>
        <w:t>;</w:t>
      </w:r>
    </w:p>
    <w:p w14:paraId="5AD7BDEC" w14:textId="4DFCCFAE" w:rsidR="00555966" w:rsidRPr="00555966" w:rsidRDefault="00555966" w:rsidP="008C58A3">
      <w:pPr>
        <w:pStyle w:val="NormalWeb"/>
        <w:spacing w:after="0"/>
        <w:jc w:val="both"/>
        <w:rPr>
          <w:rFonts w:ascii="Marianne" w:hAnsi="Marianne" w:cs="Calibri"/>
          <w:sz w:val="22"/>
          <w:szCs w:val="22"/>
        </w:rPr>
      </w:pPr>
      <w:r w:rsidRPr="00555966">
        <w:rPr>
          <w:rFonts w:ascii="Marianne" w:hAnsi="Marianne" w:cs="Calibri"/>
          <w:b/>
          <w:sz w:val="22"/>
          <w:szCs w:val="22"/>
          <w:u w:val="single"/>
        </w:rPr>
        <w:t>Point de vigilance</w:t>
      </w:r>
      <w:r w:rsidRPr="00555966">
        <w:rPr>
          <w:rFonts w:ascii="Calibri" w:hAnsi="Calibri" w:cs="Calibri"/>
          <w:b/>
          <w:sz w:val="22"/>
          <w:szCs w:val="22"/>
          <w:u w:val="single"/>
        </w:rPr>
        <w:t> </w:t>
      </w:r>
      <w:r w:rsidRPr="000E47E8">
        <w:rPr>
          <w:rFonts w:ascii="Marianne" w:hAnsi="Marianne" w:cs="Calibri"/>
          <w:b/>
          <w:sz w:val="22"/>
          <w:szCs w:val="22"/>
        </w:rPr>
        <w:t xml:space="preserve">: </w:t>
      </w:r>
      <w:r>
        <w:rPr>
          <w:rFonts w:ascii="Marianne" w:hAnsi="Marianne" w:cs="Calibri"/>
          <w:sz w:val="22"/>
          <w:szCs w:val="22"/>
        </w:rPr>
        <w:t>dans une commune FRR «</w:t>
      </w:r>
      <w:r>
        <w:rPr>
          <w:rFonts w:ascii="Calibri" w:hAnsi="Calibri" w:cs="Calibri"/>
          <w:sz w:val="22"/>
          <w:szCs w:val="22"/>
        </w:rPr>
        <w:t> </w:t>
      </w:r>
      <w:r w:rsidR="004831EA">
        <w:rPr>
          <w:rFonts w:ascii="Marianne" w:hAnsi="Marianne" w:cs="Calibri"/>
          <w:sz w:val="22"/>
          <w:szCs w:val="22"/>
        </w:rPr>
        <w:t>bénéficiaire</w:t>
      </w:r>
      <w:r>
        <w:rPr>
          <w:rFonts w:ascii="Calibri" w:hAnsi="Calibri" w:cs="Calibri"/>
          <w:sz w:val="22"/>
          <w:szCs w:val="22"/>
        </w:rPr>
        <w:t> </w:t>
      </w:r>
      <w:r>
        <w:rPr>
          <w:rFonts w:ascii="Marianne" w:hAnsi="Marianne" w:cs="Marianne"/>
          <w:sz w:val="22"/>
          <w:szCs w:val="22"/>
        </w:rPr>
        <w:t>»</w:t>
      </w:r>
      <w:r>
        <w:rPr>
          <w:rFonts w:ascii="Marianne" w:hAnsi="Marianne" w:cs="Calibri"/>
          <w:sz w:val="22"/>
          <w:szCs w:val="22"/>
        </w:rPr>
        <w:t xml:space="preserve">, sont concernées les entreprises créées ou reprises </w:t>
      </w:r>
      <w:r w:rsidRPr="00555966">
        <w:rPr>
          <w:rFonts w:ascii="Marianne" w:hAnsi="Marianne" w:cs="Calibri"/>
          <w:sz w:val="22"/>
          <w:szCs w:val="22"/>
        </w:rPr>
        <w:t>entre le 1er juillet 2024 et le 31 décembre 2027</w:t>
      </w:r>
      <w:r>
        <w:rPr>
          <w:rFonts w:ascii="Marianne" w:hAnsi="Marianne" w:cs="Calibri"/>
          <w:sz w:val="22"/>
          <w:szCs w:val="22"/>
        </w:rPr>
        <w:t>.</w:t>
      </w:r>
    </w:p>
    <w:p w14:paraId="00CA45C6" w14:textId="77777777" w:rsidR="001E01AF" w:rsidRDefault="00AF646F">
      <w:pPr>
        <w:pStyle w:val="NormalWeb"/>
        <w:numPr>
          <w:ilvl w:val="0"/>
          <w:numId w:val="5"/>
        </w:numPr>
        <w:spacing w:after="0"/>
        <w:jc w:val="both"/>
        <w:rPr>
          <w:rFonts w:ascii="Marianne" w:hAnsi="Marianne"/>
          <w:sz w:val="22"/>
          <w:szCs w:val="22"/>
        </w:rPr>
      </w:pPr>
      <w:r>
        <w:rPr>
          <w:rFonts w:ascii="Marianne" w:hAnsi="Marianne"/>
          <w:sz w:val="22"/>
          <w:szCs w:val="22"/>
        </w:rPr>
        <w:t>Exercer une activité industrielle, commerciale, artisanale ou libérale</w:t>
      </w:r>
      <w:r>
        <w:rPr>
          <w:rFonts w:ascii="Calibri" w:hAnsi="Calibri" w:cs="Calibri"/>
          <w:sz w:val="22"/>
          <w:szCs w:val="22"/>
        </w:rPr>
        <w:t> </w:t>
      </w:r>
      <w:r>
        <w:rPr>
          <w:rFonts w:ascii="Marianne" w:hAnsi="Marianne"/>
          <w:sz w:val="22"/>
          <w:szCs w:val="22"/>
        </w:rPr>
        <w:t>;</w:t>
      </w:r>
    </w:p>
    <w:p w14:paraId="6AE37DBE" w14:textId="77777777" w:rsidR="001E01AF" w:rsidRDefault="00AF646F">
      <w:pPr>
        <w:pStyle w:val="NormalWeb"/>
        <w:numPr>
          <w:ilvl w:val="0"/>
          <w:numId w:val="5"/>
        </w:numPr>
        <w:spacing w:after="0"/>
        <w:jc w:val="both"/>
        <w:rPr>
          <w:rFonts w:ascii="Marianne" w:hAnsi="Marianne"/>
          <w:sz w:val="22"/>
          <w:szCs w:val="22"/>
        </w:rPr>
      </w:pPr>
      <w:r>
        <w:rPr>
          <w:rFonts w:ascii="Marianne" w:hAnsi="Marianne"/>
          <w:sz w:val="22"/>
          <w:szCs w:val="22"/>
        </w:rPr>
        <w:t>Employer moins de 11 salariés</w:t>
      </w:r>
      <w:r>
        <w:rPr>
          <w:rFonts w:ascii="Calibri" w:hAnsi="Calibri" w:cs="Calibri"/>
          <w:sz w:val="22"/>
          <w:szCs w:val="22"/>
        </w:rPr>
        <w:t> </w:t>
      </w:r>
      <w:r>
        <w:rPr>
          <w:rFonts w:ascii="Marianne" w:hAnsi="Marianne"/>
          <w:sz w:val="22"/>
          <w:szCs w:val="22"/>
        </w:rPr>
        <w:t>;</w:t>
      </w:r>
    </w:p>
    <w:p w14:paraId="65905150" w14:textId="57E7FE4A" w:rsidR="00FF3876" w:rsidRPr="00800048" w:rsidRDefault="00AF646F" w:rsidP="00800048">
      <w:pPr>
        <w:pStyle w:val="NormalWeb"/>
        <w:numPr>
          <w:ilvl w:val="0"/>
          <w:numId w:val="5"/>
        </w:numPr>
        <w:spacing w:after="280"/>
        <w:jc w:val="both"/>
        <w:rPr>
          <w:rFonts w:ascii="Marianne" w:hAnsi="Marianne"/>
          <w:sz w:val="22"/>
          <w:szCs w:val="22"/>
        </w:rPr>
      </w:pPr>
      <w:r>
        <w:rPr>
          <w:rFonts w:ascii="Marianne" w:hAnsi="Marianne"/>
          <w:sz w:val="22"/>
          <w:szCs w:val="22"/>
        </w:rPr>
        <w:t>Disposer d’un siège social ainsi que l’ensemble de son activité et de ses moyens d’exploitation implantés en FRR. Il existe néanmoins des mesures d’assouplissement pour les entreprises qui exercent des activités non-sédentaires,</w:t>
      </w:r>
      <w:r w:rsidR="00A451FB">
        <w:rPr>
          <w:rFonts w:ascii="Marianne" w:hAnsi="Marianne"/>
          <w:sz w:val="22"/>
          <w:szCs w:val="22"/>
        </w:rPr>
        <w:t xml:space="preserve"> </w:t>
      </w:r>
      <w:r>
        <w:rPr>
          <w:rFonts w:ascii="Marianne" w:hAnsi="Marianne"/>
          <w:sz w:val="22"/>
          <w:szCs w:val="22"/>
        </w:rPr>
        <w:t xml:space="preserve">c’est-à-dire des activités exercées, à raison de ses caractéristiques mêmes, pour une bonne part à l'extérieur des locaux de l'entreprise (BTP, transport, services aux entreprises, </w:t>
      </w:r>
      <w:r w:rsidR="00A451FB">
        <w:rPr>
          <w:rFonts w:ascii="Marianne" w:hAnsi="Marianne"/>
          <w:sz w:val="22"/>
          <w:szCs w:val="22"/>
        </w:rPr>
        <w:t>etc.</w:t>
      </w:r>
      <w:r>
        <w:rPr>
          <w:rFonts w:ascii="Marianne" w:hAnsi="Marianne"/>
          <w:sz w:val="22"/>
          <w:szCs w:val="22"/>
        </w:rPr>
        <w:t>) ou celles qui exercent des activités sédentaires mais réalisent au plus 25 % de leur chiffre d'affaires en dehors des FRR et des FRR+.</w:t>
      </w:r>
    </w:p>
    <w:p w14:paraId="3EF2429C" w14:textId="312B4F5C" w:rsidR="001E01AF" w:rsidRDefault="00AF646F">
      <w:pPr>
        <w:pStyle w:val="NormalWeb"/>
        <w:spacing w:before="280" w:after="280"/>
        <w:jc w:val="both"/>
        <w:rPr>
          <w:rFonts w:ascii="Marianne" w:hAnsi="Marianne"/>
          <w:sz w:val="22"/>
          <w:szCs w:val="22"/>
        </w:rPr>
      </w:pPr>
      <w:r>
        <w:rPr>
          <w:rFonts w:ascii="Marianne" w:hAnsi="Marianne"/>
          <w:sz w:val="22"/>
          <w:szCs w:val="22"/>
        </w:rPr>
        <w:t>Les très petites entreprises (TPE) et les activités libérales sont donc, entre autres, toujours éligibles au nouveau zonage FRR. Les franchises et les filiales peuvent désormais également bénéficier des dispositifs d’exonérations fiscales, tout comme les activités bancaires.</w:t>
      </w:r>
    </w:p>
    <w:p w14:paraId="6EF21DCE" w14:textId="77777777" w:rsidR="001E01AF" w:rsidRDefault="00AF646F">
      <w:pPr>
        <w:pStyle w:val="NormalWeb"/>
        <w:spacing w:before="280" w:after="280"/>
        <w:jc w:val="both"/>
        <w:rPr>
          <w:rFonts w:ascii="Marianne" w:hAnsi="Marianne"/>
          <w:sz w:val="22"/>
          <w:szCs w:val="22"/>
        </w:rPr>
      </w:pPr>
      <w:r>
        <w:rPr>
          <w:rFonts w:ascii="Marianne" w:hAnsi="Marianne"/>
          <w:sz w:val="22"/>
          <w:szCs w:val="22"/>
          <w:u w:val="single"/>
        </w:rPr>
        <w:lastRenderedPageBreak/>
        <w:t>A noter</w:t>
      </w:r>
      <w:r>
        <w:rPr>
          <w:rFonts w:ascii="Calibri" w:hAnsi="Calibri" w:cs="Calibri"/>
          <w:sz w:val="22"/>
          <w:szCs w:val="22"/>
          <w:u w:val="single"/>
        </w:rPr>
        <w:t> </w:t>
      </w:r>
      <w:r>
        <w:rPr>
          <w:rFonts w:ascii="Marianne" w:hAnsi="Marianne"/>
          <w:sz w:val="22"/>
          <w:szCs w:val="22"/>
          <w:u w:val="single"/>
        </w:rPr>
        <w:t>:</w:t>
      </w:r>
      <w:r>
        <w:rPr>
          <w:rFonts w:ascii="Marianne" w:hAnsi="Marianne"/>
          <w:sz w:val="22"/>
          <w:szCs w:val="22"/>
        </w:rPr>
        <w:t xml:space="preserve"> la reprise d’entreprise s’entend de toute opération au terme de laquelle est reprise la direction effective d’une entreprise existante avec la volonté non équivoque de maintenir la pérennité de cette entreprise. La date de reprise constituant le point de départ pour le décompte de la période d’exonération correspond au moment où intervient de façon effective le changement de direction.</w:t>
      </w:r>
    </w:p>
    <w:p w14:paraId="596E5E72" w14:textId="77777777" w:rsidR="001E01AF" w:rsidRDefault="00AF646F">
      <w:pPr>
        <w:pStyle w:val="NormalWeb"/>
        <w:numPr>
          <w:ilvl w:val="0"/>
          <w:numId w:val="16"/>
        </w:numPr>
        <w:spacing w:before="280" w:after="280"/>
        <w:jc w:val="both"/>
        <w:rPr>
          <w:rFonts w:ascii="Marianne" w:hAnsi="Marianne"/>
          <w:sz w:val="22"/>
          <w:szCs w:val="22"/>
        </w:rPr>
      </w:pPr>
      <w:r>
        <w:rPr>
          <w:rFonts w:ascii="Marianne" w:hAnsi="Marianne"/>
          <w:sz w:val="22"/>
          <w:szCs w:val="22"/>
        </w:rPr>
        <w:t>Exemples</w:t>
      </w:r>
      <w:r>
        <w:rPr>
          <w:rFonts w:ascii="Calibri" w:hAnsi="Calibri" w:cs="Calibri"/>
          <w:sz w:val="22"/>
          <w:szCs w:val="22"/>
        </w:rPr>
        <w:t> </w:t>
      </w:r>
      <w:r>
        <w:rPr>
          <w:rFonts w:ascii="Marianne" w:hAnsi="Marianne"/>
          <w:sz w:val="22"/>
          <w:szCs w:val="22"/>
        </w:rPr>
        <w:t>d’entreprises éligibles en FRR</w:t>
      </w:r>
      <w:r>
        <w:rPr>
          <w:rFonts w:ascii="Calibri" w:hAnsi="Calibri" w:cs="Calibri"/>
          <w:sz w:val="22"/>
          <w:szCs w:val="22"/>
        </w:rPr>
        <w:t> </w:t>
      </w:r>
      <w:r>
        <w:rPr>
          <w:rFonts w:ascii="Marianne" w:hAnsi="Marianne"/>
          <w:sz w:val="22"/>
          <w:szCs w:val="22"/>
        </w:rPr>
        <w:t>:</w:t>
      </w:r>
    </w:p>
    <w:p w14:paraId="7A2A29EE" w14:textId="77777777" w:rsidR="001E01AF" w:rsidRDefault="00AF646F">
      <w:pPr>
        <w:pStyle w:val="NormalWeb"/>
        <w:numPr>
          <w:ilvl w:val="0"/>
          <w:numId w:val="6"/>
        </w:numPr>
        <w:spacing w:before="280" w:after="0"/>
        <w:jc w:val="both"/>
        <w:rPr>
          <w:rFonts w:ascii="Marianne" w:hAnsi="Marianne"/>
          <w:sz w:val="22"/>
          <w:szCs w:val="22"/>
        </w:rPr>
      </w:pPr>
      <w:r>
        <w:rPr>
          <w:rFonts w:ascii="Marianne" w:hAnsi="Marianne"/>
          <w:sz w:val="22"/>
          <w:szCs w:val="22"/>
        </w:rPr>
        <w:t>Ouverture d’un cabinet par un médecin ou installation d’un artisan</w:t>
      </w:r>
      <w:r>
        <w:rPr>
          <w:rFonts w:ascii="Calibri" w:hAnsi="Calibri" w:cs="Calibri"/>
          <w:sz w:val="22"/>
          <w:szCs w:val="22"/>
        </w:rPr>
        <w:t> </w:t>
      </w:r>
      <w:r>
        <w:rPr>
          <w:rFonts w:ascii="Marianne" w:hAnsi="Marianne"/>
          <w:sz w:val="22"/>
          <w:szCs w:val="22"/>
        </w:rPr>
        <w:t>;</w:t>
      </w:r>
    </w:p>
    <w:p w14:paraId="3E978C97" w14:textId="77777777" w:rsidR="001E01AF" w:rsidRDefault="00AF646F">
      <w:pPr>
        <w:pStyle w:val="NormalWeb"/>
        <w:numPr>
          <w:ilvl w:val="0"/>
          <w:numId w:val="6"/>
        </w:numPr>
        <w:spacing w:after="0"/>
        <w:jc w:val="both"/>
        <w:rPr>
          <w:rFonts w:ascii="Marianne" w:hAnsi="Marianne"/>
          <w:sz w:val="22"/>
          <w:szCs w:val="22"/>
        </w:rPr>
      </w:pPr>
      <w:r>
        <w:rPr>
          <w:rFonts w:ascii="Marianne" w:hAnsi="Marianne"/>
          <w:sz w:val="22"/>
          <w:szCs w:val="22"/>
        </w:rPr>
        <w:t>Ouverture d’une franchise ou d’une filiale (si moins de 11 salariés)</w:t>
      </w:r>
      <w:r>
        <w:rPr>
          <w:rFonts w:ascii="Calibri" w:hAnsi="Calibri" w:cs="Calibri"/>
          <w:sz w:val="22"/>
          <w:szCs w:val="22"/>
        </w:rPr>
        <w:t> </w:t>
      </w:r>
      <w:r>
        <w:rPr>
          <w:rFonts w:ascii="Marianne" w:hAnsi="Marianne"/>
          <w:sz w:val="22"/>
          <w:szCs w:val="22"/>
        </w:rPr>
        <w:t>;</w:t>
      </w:r>
    </w:p>
    <w:p w14:paraId="16C581DC" w14:textId="75B5E443" w:rsidR="006B3B60" w:rsidRPr="008403A7" w:rsidRDefault="00AF646F" w:rsidP="006B3B60">
      <w:pPr>
        <w:pStyle w:val="NormalWeb"/>
        <w:numPr>
          <w:ilvl w:val="0"/>
          <w:numId w:val="6"/>
        </w:numPr>
        <w:spacing w:after="280"/>
        <w:jc w:val="both"/>
        <w:rPr>
          <w:rFonts w:ascii="Marianne" w:hAnsi="Marianne"/>
          <w:sz w:val="22"/>
          <w:szCs w:val="22"/>
        </w:rPr>
      </w:pPr>
      <w:r>
        <w:rPr>
          <w:rFonts w:ascii="Marianne" w:hAnsi="Marianne"/>
          <w:sz w:val="22"/>
          <w:szCs w:val="22"/>
        </w:rPr>
        <w:t>Installation, dans une maison de santé, d’un médecin qui reprend l’activité d’un confrère.</w:t>
      </w:r>
    </w:p>
    <w:p w14:paraId="3879A593" w14:textId="77777777" w:rsidR="001E01AF" w:rsidRDefault="00AF646F">
      <w:pPr>
        <w:pStyle w:val="NormalWeb"/>
        <w:numPr>
          <w:ilvl w:val="0"/>
          <w:numId w:val="16"/>
        </w:numPr>
        <w:spacing w:before="280" w:after="280"/>
        <w:jc w:val="both"/>
        <w:rPr>
          <w:rFonts w:ascii="Marianne" w:hAnsi="Marianne"/>
          <w:sz w:val="22"/>
          <w:szCs w:val="22"/>
        </w:rPr>
      </w:pPr>
      <w:r>
        <w:rPr>
          <w:rFonts w:ascii="Marianne" w:hAnsi="Marianne"/>
          <w:sz w:val="22"/>
          <w:szCs w:val="22"/>
        </w:rPr>
        <w:t>Exemples d’entreprises non éligibles en FRR :</w:t>
      </w:r>
    </w:p>
    <w:p w14:paraId="2DD1D564" w14:textId="77777777" w:rsidR="001E01AF" w:rsidRDefault="00AF646F">
      <w:pPr>
        <w:pStyle w:val="NormalWeb"/>
        <w:numPr>
          <w:ilvl w:val="0"/>
          <w:numId w:val="6"/>
        </w:numPr>
        <w:spacing w:before="280" w:after="0"/>
        <w:jc w:val="both"/>
        <w:rPr>
          <w:rFonts w:ascii="Marianne" w:hAnsi="Marianne"/>
          <w:sz w:val="22"/>
          <w:szCs w:val="22"/>
        </w:rPr>
      </w:pPr>
      <w:r>
        <w:rPr>
          <w:rFonts w:ascii="Marianne" w:hAnsi="Marianne"/>
          <w:sz w:val="22"/>
          <w:szCs w:val="22"/>
        </w:rPr>
        <w:t>Installation d’un auto/micro-entrepreneur</w:t>
      </w:r>
      <w:r>
        <w:rPr>
          <w:rFonts w:ascii="Calibri" w:hAnsi="Calibri" w:cs="Calibri"/>
          <w:sz w:val="22"/>
          <w:szCs w:val="22"/>
        </w:rPr>
        <w:t> </w:t>
      </w:r>
      <w:r>
        <w:rPr>
          <w:rFonts w:ascii="Marianne" w:hAnsi="Marianne"/>
          <w:sz w:val="22"/>
          <w:szCs w:val="22"/>
        </w:rPr>
        <w:t>;</w:t>
      </w:r>
    </w:p>
    <w:p w14:paraId="65F420C3" w14:textId="77777777" w:rsidR="001E01AF" w:rsidRDefault="00AF646F">
      <w:pPr>
        <w:pStyle w:val="NormalWeb"/>
        <w:numPr>
          <w:ilvl w:val="0"/>
          <w:numId w:val="6"/>
        </w:numPr>
        <w:spacing w:after="0"/>
        <w:jc w:val="both"/>
        <w:rPr>
          <w:rFonts w:ascii="Marianne" w:hAnsi="Marianne"/>
          <w:sz w:val="22"/>
          <w:szCs w:val="22"/>
        </w:rPr>
      </w:pPr>
      <w:r>
        <w:rPr>
          <w:rFonts w:ascii="Marianne" w:hAnsi="Marianne"/>
          <w:sz w:val="22"/>
          <w:szCs w:val="22"/>
        </w:rPr>
        <w:t>Création ou reprise d’une entreprise de 11 salariés ou plus</w:t>
      </w:r>
      <w:r>
        <w:rPr>
          <w:rFonts w:ascii="Calibri" w:hAnsi="Calibri" w:cs="Calibri"/>
          <w:sz w:val="22"/>
          <w:szCs w:val="22"/>
        </w:rPr>
        <w:t> </w:t>
      </w:r>
      <w:r>
        <w:rPr>
          <w:rFonts w:ascii="Marianne" w:hAnsi="Marianne"/>
          <w:sz w:val="22"/>
          <w:szCs w:val="22"/>
        </w:rPr>
        <w:t>;</w:t>
      </w:r>
    </w:p>
    <w:p w14:paraId="6199C4F6" w14:textId="77777777" w:rsidR="001E01AF" w:rsidRDefault="00AF646F">
      <w:pPr>
        <w:pStyle w:val="NormalWeb"/>
        <w:numPr>
          <w:ilvl w:val="0"/>
          <w:numId w:val="6"/>
        </w:numPr>
        <w:spacing w:after="280"/>
        <w:jc w:val="both"/>
        <w:rPr>
          <w:rFonts w:ascii="Marianne" w:hAnsi="Marianne"/>
          <w:sz w:val="22"/>
          <w:szCs w:val="22"/>
        </w:rPr>
      </w:pPr>
      <w:r>
        <w:rPr>
          <w:rFonts w:ascii="Marianne" w:hAnsi="Marianne"/>
          <w:sz w:val="22"/>
          <w:szCs w:val="22"/>
        </w:rPr>
        <w:t>Création d’une entreprise en FRR et d’un établissement hors zone où elle réalise plus de 25</w:t>
      </w:r>
      <w:r>
        <w:rPr>
          <w:rFonts w:ascii="Calibri" w:hAnsi="Calibri"/>
          <w:sz w:val="22"/>
          <w:szCs w:val="22"/>
        </w:rPr>
        <w:t> </w:t>
      </w:r>
      <w:r>
        <w:rPr>
          <w:rFonts w:ascii="Marianne" w:hAnsi="Marianne"/>
          <w:sz w:val="22"/>
          <w:szCs w:val="22"/>
        </w:rPr>
        <w:t>% de son chiffre d’affaires total (aucune structure éligible du fait du critère d’implantation exclusive en zone qui n’est pas rempli).</w:t>
      </w:r>
    </w:p>
    <w:p w14:paraId="6325EF53" w14:textId="77777777" w:rsidR="001E01AF" w:rsidRDefault="00AF646F">
      <w:pPr>
        <w:pStyle w:val="NormalWeb"/>
        <w:spacing w:before="280" w:after="280"/>
        <w:jc w:val="both"/>
        <w:rPr>
          <w:rFonts w:ascii="Marianne" w:hAnsi="Marianne"/>
          <w:sz w:val="22"/>
          <w:szCs w:val="22"/>
        </w:rPr>
      </w:pPr>
      <w:r>
        <w:rPr>
          <w:rFonts w:ascii="Marianne" w:hAnsi="Marianne"/>
          <w:sz w:val="22"/>
          <w:szCs w:val="22"/>
        </w:rPr>
        <w:t xml:space="preserve">S’agissant des </w:t>
      </w:r>
      <w:r>
        <w:rPr>
          <w:rFonts w:ascii="Marianne" w:hAnsi="Marianne"/>
          <w:sz w:val="22"/>
          <w:szCs w:val="22"/>
          <w:u w:val="single"/>
        </w:rPr>
        <w:t>exploitants agricoles</w:t>
      </w:r>
      <w:r>
        <w:rPr>
          <w:rFonts w:ascii="Calibri" w:hAnsi="Calibri" w:cs="Calibri"/>
          <w:sz w:val="22"/>
          <w:szCs w:val="22"/>
        </w:rPr>
        <w:t> </w:t>
      </w:r>
      <w:r>
        <w:rPr>
          <w:rFonts w:ascii="Marianne" w:hAnsi="Marianne"/>
          <w:sz w:val="22"/>
          <w:szCs w:val="22"/>
        </w:rPr>
        <w:t>:</w:t>
      </w:r>
    </w:p>
    <w:p w14:paraId="415B3AD0" w14:textId="77777777" w:rsidR="001E01AF" w:rsidRDefault="00AF646F">
      <w:pPr>
        <w:pStyle w:val="NormalWeb"/>
        <w:numPr>
          <w:ilvl w:val="0"/>
          <w:numId w:val="6"/>
        </w:numPr>
        <w:spacing w:before="280" w:after="280"/>
        <w:jc w:val="both"/>
        <w:rPr>
          <w:rFonts w:ascii="Marianne" w:hAnsi="Marianne"/>
          <w:sz w:val="22"/>
          <w:szCs w:val="22"/>
        </w:rPr>
      </w:pPr>
      <w:r>
        <w:rPr>
          <w:rFonts w:ascii="Marianne" w:hAnsi="Marianne"/>
          <w:sz w:val="22"/>
          <w:szCs w:val="22"/>
        </w:rPr>
        <w:t xml:space="preserve">les </w:t>
      </w:r>
      <w:r>
        <w:rPr>
          <w:rFonts w:ascii="Marianne" w:hAnsi="Marianne"/>
          <w:sz w:val="22"/>
          <w:szCs w:val="22"/>
          <w:u w:val="single"/>
        </w:rPr>
        <w:t>activités agricoles</w:t>
      </w:r>
      <w:r>
        <w:rPr>
          <w:rFonts w:ascii="Marianne" w:hAnsi="Marianne"/>
          <w:sz w:val="22"/>
          <w:szCs w:val="22"/>
        </w:rPr>
        <w:t xml:space="preserve"> ne sont pas éligibles aux exonérations en FRR, comme elles ne l’étaient pas en ZRR. En effet, les exploitants agricoles sont exonérés de plein droit de CFE pour leurs activités agricoles (article 1450 du CGI) et de TFPB sur les bâtiments agricoles (6° de l'article 1382 du CGI).</w:t>
      </w:r>
      <w:r>
        <w:rPr>
          <w:rFonts w:ascii="Calibri" w:hAnsi="Calibri" w:cs="Calibri"/>
          <w:sz w:val="22"/>
          <w:szCs w:val="22"/>
        </w:rPr>
        <w:t> </w:t>
      </w:r>
    </w:p>
    <w:p w14:paraId="63EC1A79" w14:textId="77777777" w:rsidR="001E01AF" w:rsidRDefault="00AF646F">
      <w:pPr>
        <w:pStyle w:val="NormalWeb"/>
        <w:spacing w:before="280" w:after="280"/>
        <w:ind w:left="720"/>
        <w:jc w:val="both"/>
        <w:rPr>
          <w:rFonts w:ascii="Marianne" w:hAnsi="Marianne"/>
          <w:sz w:val="22"/>
          <w:szCs w:val="22"/>
        </w:rPr>
      </w:pPr>
      <w:r>
        <w:rPr>
          <w:rFonts w:ascii="Marianne" w:hAnsi="Marianne"/>
          <w:sz w:val="22"/>
          <w:szCs w:val="22"/>
        </w:rPr>
        <w:t>Toutefois, ces exonérations de plein droit accordées aux exploitants agricoles ne s'étendent pas aux activités exercées par les intéressés lorsqu'elles présentent un caractère industriel ou commercial au sens de l'article 34 du CGI</w:t>
      </w:r>
      <w:r>
        <w:rPr>
          <w:rFonts w:ascii="Calibri" w:hAnsi="Calibri" w:cs="Calibri"/>
          <w:sz w:val="22"/>
          <w:szCs w:val="22"/>
        </w:rPr>
        <w:t>.</w:t>
      </w:r>
    </w:p>
    <w:p w14:paraId="2902FEA7" w14:textId="649F2BE2" w:rsidR="00781E40" w:rsidRDefault="00C42435" w:rsidP="006B3B60">
      <w:pPr>
        <w:pStyle w:val="NormalWeb"/>
        <w:numPr>
          <w:ilvl w:val="0"/>
          <w:numId w:val="6"/>
        </w:numPr>
        <w:spacing w:before="280" w:after="280"/>
        <w:jc w:val="both"/>
        <w:rPr>
          <w:rFonts w:ascii="Marianne" w:hAnsi="Marianne"/>
          <w:sz w:val="22"/>
          <w:szCs w:val="22"/>
        </w:rPr>
      </w:pPr>
      <w:r>
        <w:rPr>
          <w:rFonts w:cs="Arial"/>
          <w:noProof/>
        </w:rPr>
        <mc:AlternateContent>
          <mc:Choice Requires="wps">
            <w:drawing>
              <wp:anchor distT="0" distB="0" distL="114300" distR="114300" simplePos="0" relativeHeight="251671552" behindDoc="0" locked="0" layoutInCell="1" allowOverlap="1" wp14:anchorId="6DECDD62" wp14:editId="2C5E06C3">
                <wp:simplePos x="0" y="0"/>
                <wp:positionH relativeFrom="column">
                  <wp:posOffset>-745928</wp:posOffset>
                </wp:positionH>
                <wp:positionV relativeFrom="paragraph">
                  <wp:posOffset>617658</wp:posOffset>
                </wp:positionV>
                <wp:extent cx="809296" cy="294289"/>
                <wp:effectExtent l="0" t="0" r="10160" b="10795"/>
                <wp:wrapNone/>
                <wp:docPr id="12" name="Rectangle à coins arrondis 12"/>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B2C9E5" w14:textId="77777777" w:rsidR="00C42435" w:rsidRPr="00774AB8" w:rsidRDefault="00C42435" w:rsidP="00C42435">
                            <w:pPr>
                              <w:jc w:val="center"/>
                              <w:rPr>
                                <w:b/>
                              </w:rPr>
                            </w:pPr>
                            <w:r w:rsidRPr="00774AB8">
                              <w:rPr>
                                <w:b/>
                                <w:sz w:val="20"/>
                              </w:rPr>
                              <w:t>Nouve</w:t>
                            </w:r>
                            <w:r w:rsidRPr="00774AB8">
                              <w:rPr>
                                <w:b/>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CDD62" id="Rectangle à coins arrondis 12" o:spid="_x0000_s1033" style="position:absolute;left:0;text-align:left;margin-left:-58.75pt;margin-top:48.65pt;width:63.7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" fillcolor="#b4c6e7 [1304]" strokecolor="black [3213]" strokeweight="1pt">
                <v:stroke joinstyle="miter"/>
                <v:textbox>
                  <w:txbxContent>
                    <w:p w14:paraId="28B2C9E5" w14:textId="77777777" w:rsidR="00C42435" w:rsidRPr="00774AB8" w:rsidRDefault="00C42435" w:rsidP="00C42435">
                      <w:pPr>
                        <w:jc w:val="center"/>
                        <w:rPr>
                          <w:b/>
                        </w:rPr>
                      </w:pPr>
                      <w:r w:rsidRPr="00774AB8">
                        <w:rPr>
                          <w:b/>
                          <w:sz w:val="20"/>
                        </w:rPr>
                        <w:t>Nouve</w:t>
                      </w:r>
                      <w:r w:rsidRPr="00774AB8">
                        <w:rPr>
                          <w:b/>
                        </w:rPr>
                        <w:t>au</w:t>
                      </w:r>
                    </w:p>
                  </w:txbxContent>
                </v:textbox>
              </v:roundrect>
            </w:pict>
          </mc:Fallback>
        </mc:AlternateContent>
      </w:r>
      <w:r w:rsidR="00AF646F">
        <w:rPr>
          <w:rFonts w:ascii="Marianne" w:hAnsi="Marianne"/>
          <w:sz w:val="22"/>
          <w:szCs w:val="22"/>
        </w:rPr>
        <w:t xml:space="preserve">les </w:t>
      </w:r>
      <w:r w:rsidR="00AF646F">
        <w:rPr>
          <w:rFonts w:ascii="Marianne" w:hAnsi="Marianne"/>
          <w:sz w:val="22"/>
          <w:szCs w:val="22"/>
          <w:u w:val="single"/>
        </w:rPr>
        <w:t>activités commerciales imposables</w:t>
      </w:r>
      <w:r w:rsidR="00AF646F">
        <w:rPr>
          <w:rFonts w:ascii="Marianne" w:hAnsi="Marianne"/>
          <w:sz w:val="22"/>
          <w:szCs w:val="22"/>
        </w:rPr>
        <w:t xml:space="preserve"> réalisées par l’exploitant agricole (activités de vente de produits ne provenant pas de l’exploitation, de transformation de produits ou encore de production l'électricité d'origine renouvelable) </w:t>
      </w:r>
      <w:r w:rsidR="00AF646F" w:rsidRPr="00E24A9E">
        <w:rPr>
          <w:rFonts w:ascii="Marianne" w:hAnsi="Marianne"/>
          <w:sz w:val="22"/>
          <w:szCs w:val="22"/>
        </w:rPr>
        <w:t>ne peuvent pas bénéficier des exonérations prévues dans les FRR, sauf si elles sont exercées dans une structure juridique nouvelle, ayant sa propre personnalité juridique.</w:t>
      </w:r>
    </w:p>
    <w:p w14:paraId="4E60C842" w14:textId="4FF55F52" w:rsidR="00676139" w:rsidRDefault="00676139" w:rsidP="00676139">
      <w:pPr>
        <w:pStyle w:val="NormalWeb"/>
        <w:spacing w:before="280" w:after="280"/>
        <w:jc w:val="both"/>
        <w:rPr>
          <w:rFonts w:ascii="Marianne" w:hAnsi="Marianne"/>
          <w:sz w:val="22"/>
          <w:szCs w:val="22"/>
        </w:rPr>
      </w:pPr>
    </w:p>
    <w:p w14:paraId="1356BBE9" w14:textId="391DDDE5" w:rsidR="00676139" w:rsidRDefault="00676139" w:rsidP="00676139">
      <w:pPr>
        <w:pStyle w:val="NormalWeb"/>
        <w:spacing w:before="280" w:after="280"/>
        <w:jc w:val="both"/>
        <w:rPr>
          <w:rFonts w:ascii="Marianne" w:hAnsi="Marianne"/>
          <w:sz w:val="22"/>
          <w:szCs w:val="22"/>
        </w:rPr>
      </w:pPr>
    </w:p>
    <w:p w14:paraId="49D65B27" w14:textId="77777777" w:rsidR="00676139" w:rsidRPr="006B3B60" w:rsidRDefault="00676139" w:rsidP="00676139">
      <w:pPr>
        <w:pStyle w:val="NormalWeb"/>
        <w:spacing w:before="280" w:after="280"/>
        <w:jc w:val="both"/>
        <w:rPr>
          <w:rFonts w:ascii="Marianne" w:hAnsi="Marianne"/>
          <w:sz w:val="22"/>
          <w:szCs w:val="22"/>
        </w:rPr>
      </w:pPr>
    </w:p>
    <w:p w14:paraId="3999ED43" w14:textId="77777777" w:rsidR="001E01AF" w:rsidRDefault="00AF646F">
      <w:pPr>
        <w:pStyle w:val="NormalWeb"/>
        <w:spacing w:before="280" w:after="280"/>
        <w:jc w:val="both"/>
        <w:rPr>
          <w:rFonts w:ascii="Marianne" w:hAnsi="Marianne"/>
          <w:sz w:val="22"/>
          <w:szCs w:val="22"/>
        </w:rPr>
      </w:pPr>
      <w:r>
        <w:rPr>
          <w:rFonts w:ascii="Marianne" w:hAnsi="Marianne"/>
          <w:b/>
          <w:i/>
          <w:sz w:val="22"/>
          <w:szCs w:val="22"/>
          <w:u w:val="single"/>
        </w:rPr>
        <w:lastRenderedPageBreak/>
        <w:t>Qu’en est-il si l’entreprise ou le contribuable implanté en FRR exerce une part de son activité hors du zonage ?</w:t>
      </w:r>
    </w:p>
    <w:p w14:paraId="61300113" w14:textId="77777777" w:rsidR="001E01AF" w:rsidRDefault="00AF646F">
      <w:pPr>
        <w:pStyle w:val="NormalWeb"/>
        <w:spacing w:before="280" w:after="280"/>
        <w:jc w:val="both"/>
        <w:rPr>
          <w:rFonts w:ascii="Marianne" w:hAnsi="Marianne"/>
          <w:sz w:val="22"/>
          <w:szCs w:val="22"/>
          <w:u w:val="single"/>
        </w:rPr>
      </w:pPr>
      <w:r>
        <w:rPr>
          <w:rFonts w:ascii="Marianne" w:hAnsi="Marianne"/>
          <w:sz w:val="22"/>
          <w:szCs w:val="22"/>
        </w:rPr>
        <w:t xml:space="preserve">Il convient de distinguer </w:t>
      </w:r>
      <w:r w:rsidRPr="00BC4831">
        <w:rPr>
          <w:rFonts w:ascii="Marianne" w:hAnsi="Marianne"/>
          <w:b/>
          <w:sz w:val="22"/>
          <w:szCs w:val="22"/>
        </w:rPr>
        <w:t>deux cas de figure</w:t>
      </w:r>
      <w:r w:rsidRPr="00BC4831">
        <w:rPr>
          <w:rFonts w:ascii="Calibri" w:hAnsi="Calibri" w:cs="Calibri"/>
          <w:b/>
          <w:sz w:val="22"/>
          <w:szCs w:val="22"/>
        </w:rPr>
        <w:t> </w:t>
      </w:r>
      <w:r w:rsidRPr="00BC4831">
        <w:rPr>
          <w:rFonts w:ascii="Marianne" w:hAnsi="Marianne"/>
          <w:b/>
          <w:sz w:val="22"/>
          <w:szCs w:val="22"/>
        </w:rPr>
        <w:t>:</w:t>
      </w:r>
    </w:p>
    <w:p w14:paraId="09A618A9" w14:textId="77777777" w:rsidR="001E01AF" w:rsidRDefault="00AF646F">
      <w:pPr>
        <w:pStyle w:val="NormalWeb"/>
        <w:numPr>
          <w:ilvl w:val="0"/>
          <w:numId w:val="21"/>
        </w:numPr>
        <w:spacing w:before="280" w:after="280"/>
        <w:jc w:val="both"/>
        <w:rPr>
          <w:rFonts w:ascii="Marianne" w:hAnsi="Marianne"/>
          <w:sz w:val="22"/>
          <w:szCs w:val="22"/>
        </w:rPr>
      </w:pPr>
      <w:r>
        <w:rPr>
          <w:rFonts w:ascii="Marianne" w:hAnsi="Marianne"/>
          <w:sz w:val="22"/>
          <w:szCs w:val="22"/>
        </w:rPr>
        <w:t xml:space="preserve">Les </w:t>
      </w:r>
      <w:r w:rsidRPr="005A2E47">
        <w:rPr>
          <w:rFonts w:ascii="Marianne" w:hAnsi="Marianne"/>
          <w:b/>
          <w:sz w:val="22"/>
          <w:szCs w:val="22"/>
          <w:u w:val="single"/>
        </w:rPr>
        <w:t>activités sédentaires</w:t>
      </w:r>
      <w:r>
        <w:rPr>
          <w:rFonts w:ascii="Marianne" w:hAnsi="Marianne"/>
          <w:sz w:val="22"/>
          <w:szCs w:val="22"/>
        </w:rPr>
        <w:t xml:space="preserve"> exercées en FRR restent éligibles aux exonérations fiscales, si l’entreprise ne réalise pas plus de 25% de chiffre d’affaires réalisé hors zone.</w:t>
      </w:r>
    </w:p>
    <w:p w14:paraId="440CCE4E" w14:textId="77777777" w:rsidR="001E01AF" w:rsidRDefault="00AF646F">
      <w:pPr>
        <w:pStyle w:val="NormalWeb"/>
        <w:numPr>
          <w:ilvl w:val="0"/>
          <w:numId w:val="16"/>
        </w:numPr>
        <w:spacing w:before="280" w:after="280"/>
        <w:jc w:val="both"/>
        <w:rPr>
          <w:rFonts w:ascii="Marianne" w:hAnsi="Marianne"/>
          <w:sz w:val="22"/>
          <w:szCs w:val="22"/>
        </w:rPr>
      </w:pPr>
      <w:r>
        <w:rPr>
          <w:rFonts w:ascii="Marianne" w:hAnsi="Marianne"/>
          <w:sz w:val="22"/>
          <w:szCs w:val="22"/>
        </w:rPr>
        <w:t>Exemple</w:t>
      </w:r>
      <w:r>
        <w:rPr>
          <w:rFonts w:ascii="Calibri" w:hAnsi="Calibri" w:cs="Calibri"/>
          <w:sz w:val="22"/>
          <w:szCs w:val="22"/>
        </w:rPr>
        <w:t> </w:t>
      </w:r>
      <w:r>
        <w:rPr>
          <w:rFonts w:ascii="Marianne" w:hAnsi="Marianne"/>
          <w:sz w:val="22"/>
          <w:szCs w:val="22"/>
        </w:rPr>
        <w:t>: un médecin, dentiste ou un ophtalmologiste implante son cabinet en zone FRR (au sein duquel il exerce à titre principal) et exerce un jour par semaine dans un cabinet hors zone.</w:t>
      </w:r>
    </w:p>
    <w:p w14:paraId="3A53680B" w14:textId="77777777" w:rsidR="001E01AF" w:rsidRDefault="00AF646F">
      <w:pPr>
        <w:pStyle w:val="NormalWeb"/>
        <w:spacing w:before="280" w:after="280"/>
        <w:jc w:val="both"/>
        <w:rPr>
          <w:rFonts w:ascii="Marianne" w:hAnsi="Marianne"/>
          <w:sz w:val="22"/>
          <w:szCs w:val="22"/>
        </w:rPr>
      </w:pPr>
      <w:r>
        <w:rPr>
          <w:rFonts w:ascii="Marianne" w:hAnsi="Marianne"/>
          <w:sz w:val="22"/>
          <w:szCs w:val="22"/>
        </w:rPr>
        <w:t xml:space="preserve">Si une entreprise qui s’implante en FRR et qui exerce une activité sédentaire réalise plus de 25% de son chiffre d’affaires hors du zonage, elle ne pourra bénéficier d’aucune exonération fiscale. </w:t>
      </w:r>
    </w:p>
    <w:p w14:paraId="2CCB4271" w14:textId="77777777" w:rsidR="001E01AF" w:rsidRDefault="00AF646F">
      <w:pPr>
        <w:pStyle w:val="NormalWeb"/>
        <w:numPr>
          <w:ilvl w:val="0"/>
          <w:numId w:val="21"/>
        </w:numPr>
        <w:spacing w:before="280" w:after="280"/>
        <w:jc w:val="both"/>
        <w:rPr>
          <w:rFonts w:ascii="Marianne" w:hAnsi="Marianne"/>
          <w:b/>
          <w:sz w:val="22"/>
          <w:szCs w:val="22"/>
        </w:rPr>
      </w:pPr>
      <w:r>
        <w:rPr>
          <w:rFonts w:ascii="Marianne" w:hAnsi="Marianne"/>
          <w:sz w:val="22"/>
          <w:szCs w:val="22"/>
        </w:rPr>
        <w:t xml:space="preserve">Les </w:t>
      </w:r>
      <w:r w:rsidRPr="005A2E47">
        <w:rPr>
          <w:rFonts w:ascii="Marianne" w:hAnsi="Marianne"/>
          <w:b/>
          <w:sz w:val="22"/>
          <w:szCs w:val="22"/>
          <w:u w:val="single"/>
        </w:rPr>
        <w:t>activités non-sédentaires</w:t>
      </w:r>
      <w:r>
        <w:rPr>
          <w:rFonts w:ascii="Marianne" w:hAnsi="Marianne"/>
          <w:sz w:val="22"/>
          <w:szCs w:val="22"/>
        </w:rPr>
        <w:t xml:space="preserve"> exercées en FRR sont également éligibles aux exonérations fiscales si la part de l’activité réalisée hors zone ne dépasse pas 25% du chiffre d’affaires de l’activité.</w:t>
      </w:r>
    </w:p>
    <w:p w14:paraId="0CC0B7BB" w14:textId="77777777" w:rsidR="001E01AF" w:rsidRDefault="00AF646F">
      <w:pPr>
        <w:pStyle w:val="Paragraphedeliste"/>
        <w:numPr>
          <w:ilvl w:val="0"/>
          <w:numId w:val="16"/>
        </w:numPr>
        <w:jc w:val="both"/>
        <w:rPr>
          <w:color w:val="000000" w:themeColor="text1"/>
        </w:rPr>
      </w:pPr>
      <w:r>
        <w:rPr>
          <w:color w:val="000000" w:themeColor="text1"/>
        </w:rPr>
        <w:t>Exemple</w:t>
      </w:r>
      <w:r>
        <w:rPr>
          <w:rFonts w:ascii="Calibri" w:hAnsi="Calibri" w:cs="Calibri"/>
          <w:color w:val="000000" w:themeColor="text1"/>
        </w:rPr>
        <w:t> </w:t>
      </w:r>
      <w:r>
        <w:rPr>
          <w:color w:val="000000" w:themeColor="text1"/>
        </w:rPr>
        <w:t>: une entreprise du BTP ou de prestation de service qui exerce son activité, à raison de ses caractéristiques mêmes, pour une bonne part à l'extérieur de ses locaux hors zone.</w:t>
      </w:r>
    </w:p>
    <w:p w14:paraId="585529C5" w14:textId="77777777" w:rsidR="001E01AF" w:rsidRDefault="00AF646F">
      <w:pPr>
        <w:pStyle w:val="NormalWeb"/>
        <w:spacing w:before="280" w:after="280"/>
        <w:jc w:val="both"/>
        <w:rPr>
          <w:rFonts w:ascii="Marianne" w:hAnsi="Marianne"/>
          <w:sz w:val="22"/>
          <w:szCs w:val="22"/>
        </w:rPr>
      </w:pPr>
      <w:r>
        <w:rPr>
          <w:rFonts w:ascii="Marianne" w:hAnsi="Marianne"/>
          <w:sz w:val="22"/>
          <w:szCs w:val="22"/>
        </w:rPr>
        <w:t>Si une entreprise qui s’implante en FRR et qui exerce une activité non-sédentaire, réalise plus de 25 % de chiffre d’affaires hors zone, seule la part du bénéfice résultant de l'activité exercée dans la zone FRR ouvre droit au régime d’exonération.</w:t>
      </w:r>
    </w:p>
    <w:p w14:paraId="5630442E" w14:textId="77777777" w:rsidR="001E01AF" w:rsidRDefault="00AF646F">
      <w:pPr>
        <w:jc w:val="both"/>
        <w:rPr>
          <w:b/>
          <w:i/>
          <w:color w:val="000000" w:themeColor="text1"/>
          <w:u w:val="single"/>
        </w:rPr>
      </w:pPr>
      <w:r>
        <w:rPr>
          <w:b/>
          <w:i/>
          <w:color w:val="000000" w:themeColor="text1"/>
          <w:u w:val="single"/>
        </w:rPr>
        <w:t>Dans quelles situations les entreprises ne peuvent pas ou plus bénéficier des dispositifs d’exonérations fiscales du nouveau zonage FRR ?</w:t>
      </w:r>
    </w:p>
    <w:p w14:paraId="14B47BD8" w14:textId="77777777" w:rsidR="001E01AF" w:rsidRDefault="00AF646F">
      <w:pPr>
        <w:jc w:val="both"/>
        <w:rPr>
          <w:color w:val="000000" w:themeColor="text1"/>
        </w:rPr>
      </w:pPr>
      <w:r>
        <w:rPr>
          <w:color w:val="000000" w:themeColor="text1"/>
        </w:rPr>
        <w:t>Plusieurs cas de figure doivent être distingués, qui visent à préserver la finalité et le caractère incitatif des exonérations en lien avec l’objectif de développement économique des territoires ruraux</w:t>
      </w:r>
      <w:r>
        <w:rPr>
          <w:rFonts w:ascii="Calibri" w:hAnsi="Calibri" w:cs="Calibri"/>
          <w:color w:val="000000" w:themeColor="text1"/>
        </w:rPr>
        <w:t> </w:t>
      </w:r>
      <w:r>
        <w:rPr>
          <w:color w:val="000000" w:themeColor="text1"/>
        </w:rPr>
        <w:t>:</w:t>
      </w:r>
    </w:p>
    <w:p w14:paraId="6AFFCCDB" w14:textId="77777777" w:rsidR="001E01AF" w:rsidRPr="005A2E47" w:rsidRDefault="00AF646F">
      <w:pPr>
        <w:pStyle w:val="Paragraphedeliste"/>
        <w:numPr>
          <w:ilvl w:val="0"/>
          <w:numId w:val="7"/>
        </w:numPr>
        <w:jc w:val="both"/>
        <w:rPr>
          <w:b/>
          <w:color w:val="000000" w:themeColor="text1"/>
          <w:u w:val="single"/>
        </w:rPr>
      </w:pPr>
      <w:r w:rsidRPr="005A2E47">
        <w:rPr>
          <w:b/>
          <w:color w:val="000000" w:themeColor="text1"/>
          <w:u w:val="single"/>
        </w:rPr>
        <w:t>Les clauses dites «</w:t>
      </w:r>
      <w:r w:rsidRPr="005A2E47">
        <w:rPr>
          <w:rFonts w:ascii="Calibri" w:hAnsi="Calibri" w:cs="Calibri"/>
          <w:b/>
          <w:color w:val="000000" w:themeColor="text1"/>
          <w:u w:val="single"/>
        </w:rPr>
        <w:t> </w:t>
      </w:r>
      <w:r w:rsidRPr="005A2E47">
        <w:rPr>
          <w:b/>
          <w:color w:val="000000" w:themeColor="text1"/>
          <w:u w:val="single"/>
        </w:rPr>
        <w:t>anti-abus</w:t>
      </w:r>
      <w:r w:rsidRPr="005A2E47">
        <w:rPr>
          <w:rFonts w:ascii="Calibri" w:hAnsi="Calibri" w:cs="Calibri"/>
          <w:b/>
          <w:color w:val="000000" w:themeColor="text1"/>
          <w:u w:val="single"/>
        </w:rPr>
        <w:t> </w:t>
      </w:r>
      <w:r w:rsidRPr="005A2E47">
        <w:rPr>
          <w:rFonts w:cs="Marianne"/>
          <w:b/>
          <w:color w:val="000000" w:themeColor="text1"/>
          <w:u w:val="single"/>
        </w:rPr>
        <w:t>»</w:t>
      </w:r>
    </w:p>
    <w:p w14:paraId="7262E105" w14:textId="77777777" w:rsidR="001E01AF" w:rsidRDefault="00AF646F">
      <w:pPr>
        <w:jc w:val="both"/>
        <w:rPr>
          <w:color w:val="000000" w:themeColor="text1"/>
        </w:rPr>
      </w:pPr>
      <w:r>
        <w:rPr>
          <w:color w:val="000000" w:themeColor="text1"/>
        </w:rPr>
        <w:t>Les exonérations fiscales ne s’appliquent pas en FRR :</w:t>
      </w:r>
    </w:p>
    <w:p w14:paraId="565F7992" w14:textId="77777777" w:rsidR="001E01AF" w:rsidRDefault="00AF646F">
      <w:pPr>
        <w:pStyle w:val="Paragraphedeliste"/>
        <w:numPr>
          <w:ilvl w:val="0"/>
          <w:numId w:val="2"/>
        </w:numPr>
        <w:jc w:val="both"/>
        <w:rPr>
          <w:color w:val="000000" w:themeColor="text1"/>
        </w:rPr>
      </w:pPr>
      <w:r>
        <w:rPr>
          <w:color w:val="000000" w:themeColor="text1"/>
        </w:rPr>
        <w:t xml:space="preserve">Aux activités bénéficiant ou ayant bénéficié, au titre d’une ou de plusieurs des 5 années précédant l’année de la création ou de la reprise, d’autres dispositifs d’exonérations d’IR/IS, parmi lesquels les ZRR (également les zones d’aide à finalité régionale (AFR), </w:t>
      </w:r>
      <w:r>
        <w:t>les zones franches urbaines-territoires entrepreneurs (ZFU-TE), les bassins d’emploi à redynamiser (BER), etc.).</w:t>
      </w:r>
    </w:p>
    <w:p w14:paraId="27C7C084" w14:textId="77777777" w:rsidR="001E01AF" w:rsidRDefault="00AF646F">
      <w:pPr>
        <w:jc w:val="both"/>
      </w:pPr>
      <w:r>
        <w:rPr>
          <w:color w:val="000000" w:themeColor="text1"/>
          <w:u w:val="single"/>
        </w:rPr>
        <w:lastRenderedPageBreak/>
        <w:t>A noter</w:t>
      </w:r>
      <w:r>
        <w:rPr>
          <w:rFonts w:ascii="Calibri" w:hAnsi="Calibri" w:cs="Calibri"/>
          <w:color w:val="000000" w:themeColor="text1"/>
          <w:u w:val="single"/>
        </w:rPr>
        <w:t> </w:t>
      </w:r>
      <w:r>
        <w:rPr>
          <w:color w:val="000000" w:themeColor="text1"/>
          <w:u w:val="single"/>
        </w:rPr>
        <w:t>:</w:t>
      </w:r>
      <w:r>
        <w:t xml:space="preserve"> afin d’éviter toute incompatibilité entre les dispositifs d’aides, l’entreprise qui répond aux conditions requises pour bénéficier de différents zonages (AFR, BER, etc.), parmi lesquels le zonage FRR, peut opter pour ce dernier régime dans les six mois suivant le début d’activité (l’option est irrévocable)</w:t>
      </w:r>
      <w:r>
        <w:rPr>
          <w:rStyle w:val="Ancredenotedebasdepage"/>
        </w:rPr>
        <w:footnoteReference w:id="15"/>
      </w:r>
      <w:r>
        <w:t>.</w:t>
      </w:r>
    </w:p>
    <w:p w14:paraId="35313FB3" w14:textId="77777777" w:rsidR="001E01AF" w:rsidRDefault="00AF646F">
      <w:pPr>
        <w:pStyle w:val="Paragraphedeliste"/>
        <w:numPr>
          <w:ilvl w:val="0"/>
          <w:numId w:val="2"/>
        </w:numPr>
        <w:jc w:val="both"/>
        <w:rPr>
          <w:color w:val="000000" w:themeColor="text1"/>
        </w:rPr>
      </w:pPr>
      <w:r>
        <w:rPr>
          <w:color w:val="000000" w:themeColor="text1"/>
        </w:rPr>
        <w:t>Aux créations ou aux reprises d’activité ou d’entreprise consécutives au transfert, à la concentration ou à la restructuration d’activités précédemment exercées en FRR, sauf pour la durée restant à courir si l’activité reprise ou transférée bénéficie ou a bénéficié des exonérations en question.</w:t>
      </w:r>
    </w:p>
    <w:p w14:paraId="3D659543" w14:textId="77777777" w:rsidR="001E01AF" w:rsidRDefault="001E01AF">
      <w:pPr>
        <w:pStyle w:val="Paragraphedeliste"/>
        <w:jc w:val="both"/>
        <w:rPr>
          <w:color w:val="000000" w:themeColor="text1"/>
        </w:rPr>
      </w:pPr>
    </w:p>
    <w:p w14:paraId="7D1C0001" w14:textId="77777777" w:rsidR="001E01AF" w:rsidRDefault="00AF646F">
      <w:pPr>
        <w:pStyle w:val="Paragraphedeliste"/>
        <w:numPr>
          <w:ilvl w:val="0"/>
          <w:numId w:val="2"/>
        </w:numPr>
        <w:jc w:val="both"/>
        <w:rPr>
          <w:color w:val="000000" w:themeColor="text1"/>
        </w:rPr>
      </w:pPr>
      <w:r>
        <w:rPr>
          <w:color w:val="000000" w:themeColor="text1"/>
        </w:rPr>
        <w:t>Aux cas de reprises d’activité ou d’entreprise au sein du cercle familial, excepté s’il s’agit de la première opération de reprise au profit des descendants du cédant.</w:t>
      </w:r>
    </w:p>
    <w:p w14:paraId="3639304F" w14:textId="77777777" w:rsidR="001E01AF" w:rsidRDefault="00AF646F">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les exonérations fiscales s’appliquent pour la première opération de reprise mais uniquement au profit des descendants du cédant (en ZRR</w:t>
      </w:r>
      <w:r>
        <w:rPr>
          <w:rFonts w:cs="Calibri"/>
          <w:color w:val="000000" w:themeColor="text1"/>
        </w:rPr>
        <w:t>, la 1</w:t>
      </w:r>
      <w:r>
        <w:rPr>
          <w:rFonts w:cs="Calibri"/>
          <w:color w:val="000000" w:themeColor="text1"/>
          <w:vertAlign w:val="superscript"/>
        </w:rPr>
        <w:t>ère</w:t>
      </w:r>
      <w:r>
        <w:rPr>
          <w:rFonts w:cs="Calibri"/>
          <w:color w:val="000000" w:themeColor="text1"/>
        </w:rPr>
        <w:t xml:space="preserve"> opération de reprise était éligible de façon plus large)</w:t>
      </w:r>
      <w:r>
        <w:rPr>
          <w:color w:val="000000" w:themeColor="text1"/>
        </w:rPr>
        <w:t>.</w:t>
      </w:r>
    </w:p>
    <w:p w14:paraId="4AFF099C" w14:textId="77777777" w:rsidR="001E01AF" w:rsidRDefault="00AF646F">
      <w:pPr>
        <w:pStyle w:val="Paragraphedeliste"/>
        <w:numPr>
          <w:ilvl w:val="0"/>
          <w:numId w:val="2"/>
        </w:numPr>
        <w:jc w:val="both"/>
        <w:rPr>
          <w:color w:val="000000" w:themeColor="text1"/>
        </w:rPr>
      </w:pPr>
      <w:r>
        <w:rPr>
          <w:color w:val="000000" w:themeColor="text1"/>
        </w:rPr>
        <w:t>Aux cas de reprises ou de restructurations au sein du cercle familial résultant uniquement d’un changement de forme sociale (exclusion de toutes les formes de reprises «</w:t>
      </w:r>
      <w:r>
        <w:rPr>
          <w:rFonts w:ascii="Calibri" w:hAnsi="Calibri" w:cs="Calibri"/>
          <w:color w:val="000000" w:themeColor="text1"/>
        </w:rPr>
        <w:t> </w:t>
      </w:r>
      <w:r>
        <w:rPr>
          <w:color w:val="000000" w:themeColor="text1"/>
        </w:rPr>
        <w:t>par soi-même</w:t>
      </w:r>
      <w:r>
        <w:rPr>
          <w:rFonts w:ascii="Calibri" w:hAnsi="Calibri" w:cs="Calibri"/>
          <w:color w:val="000000" w:themeColor="text1"/>
        </w:rPr>
        <w:t> </w:t>
      </w:r>
      <w:r>
        <w:rPr>
          <w:rFonts w:cs="Marianne"/>
          <w:color w:val="000000" w:themeColor="text1"/>
        </w:rPr>
        <w:t>»). Exemple</w:t>
      </w:r>
      <w:r>
        <w:rPr>
          <w:rFonts w:ascii="Calibri" w:hAnsi="Calibri" w:cs="Calibri"/>
          <w:color w:val="000000" w:themeColor="text1"/>
        </w:rPr>
        <w:t> </w:t>
      </w:r>
      <w:r>
        <w:rPr>
          <w:rFonts w:cs="Marianne"/>
          <w:color w:val="000000" w:themeColor="text1"/>
        </w:rPr>
        <w:t>: transformation d’une entreprise individuelle en société anonyme à responsabilité limitée (SARL).</w:t>
      </w:r>
    </w:p>
    <w:p w14:paraId="35208761" w14:textId="77777777" w:rsidR="001E01AF" w:rsidRDefault="001E01AF">
      <w:pPr>
        <w:pStyle w:val="Paragraphedeliste"/>
        <w:jc w:val="both"/>
        <w:rPr>
          <w:color w:val="000000" w:themeColor="text1"/>
        </w:rPr>
      </w:pPr>
    </w:p>
    <w:p w14:paraId="3BF668AF" w14:textId="77777777" w:rsidR="001E01AF" w:rsidRPr="00E174F5" w:rsidRDefault="00AF646F">
      <w:pPr>
        <w:pStyle w:val="Paragraphedeliste"/>
        <w:numPr>
          <w:ilvl w:val="0"/>
          <w:numId w:val="7"/>
        </w:numPr>
        <w:jc w:val="both"/>
        <w:rPr>
          <w:b/>
          <w:color w:val="000000" w:themeColor="text1"/>
          <w:u w:val="single"/>
        </w:rPr>
      </w:pPr>
      <w:r w:rsidRPr="00E174F5">
        <w:rPr>
          <w:b/>
          <w:color w:val="000000" w:themeColor="text1"/>
          <w:u w:val="single"/>
        </w:rPr>
        <w:t>La clause dite «</w:t>
      </w:r>
      <w:r w:rsidRPr="00E174F5">
        <w:rPr>
          <w:rFonts w:ascii="Calibri" w:hAnsi="Calibri" w:cs="Calibri"/>
          <w:b/>
          <w:color w:val="000000" w:themeColor="text1"/>
          <w:u w:val="single"/>
        </w:rPr>
        <w:t> </w:t>
      </w:r>
      <w:r w:rsidRPr="00E174F5">
        <w:rPr>
          <w:b/>
          <w:color w:val="000000" w:themeColor="text1"/>
          <w:u w:val="single"/>
        </w:rPr>
        <w:t>anti-délocalisation</w:t>
      </w:r>
      <w:r w:rsidRPr="00E174F5">
        <w:rPr>
          <w:rFonts w:ascii="Calibri" w:hAnsi="Calibri" w:cs="Calibri"/>
          <w:b/>
          <w:color w:val="000000" w:themeColor="text1"/>
          <w:u w:val="single"/>
        </w:rPr>
        <w:t> </w:t>
      </w:r>
      <w:r w:rsidRPr="00E174F5">
        <w:rPr>
          <w:rFonts w:cs="Marianne"/>
          <w:b/>
          <w:color w:val="000000" w:themeColor="text1"/>
          <w:u w:val="single"/>
        </w:rPr>
        <w:t>»</w:t>
      </w:r>
    </w:p>
    <w:p w14:paraId="771AD03F" w14:textId="79F4524D" w:rsidR="001E01AF" w:rsidRDefault="00AF646F">
      <w:pPr>
        <w:jc w:val="both"/>
        <w:rPr>
          <w:color w:val="000000" w:themeColor="text1"/>
        </w:rPr>
      </w:pPr>
      <w:r>
        <w:rPr>
          <w:color w:val="000000" w:themeColor="text1"/>
        </w:rPr>
        <w:t xml:space="preserve">Les exonérations fiscales ne s’appliquent pas non plus en FRR lorsqu’un contribuable cesse volontairement son activité en FRR, en la délocalisant </w:t>
      </w:r>
      <w:r>
        <w:t xml:space="preserve">hors du zonage </w:t>
      </w:r>
      <w:r>
        <w:rPr>
          <w:color w:val="000000" w:themeColor="text1"/>
        </w:rPr>
        <w:t>moins de 5 ans après avoir bénéficié pour la dernière fois des exonérations fiscales.</w:t>
      </w:r>
    </w:p>
    <w:p w14:paraId="5AB3F673" w14:textId="77777777" w:rsidR="001E01AF" w:rsidRDefault="00AF646F">
      <w:pPr>
        <w:jc w:val="both"/>
        <w:rPr>
          <w:color w:val="000000" w:themeColor="text1"/>
        </w:rPr>
      </w:pPr>
      <w:r>
        <w:rPr>
          <w:color w:val="000000" w:themeColor="text1"/>
        </w:rPr>
        <w:t>Dans ce cas, le bénéfice des exonérations est remis en cause et le contribuable est tenu de verser les sommes qu’il n’a pas acquittées en application des exonérations qui lui ont été consenties.</w:t>
      </w:r>
    </w:p>
    <w:p w14:paraId="60993E9C" w14:textId="00EF55FE" w:rsidR="002152AA" w:rsidRDefault="00AF646F">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la cessation volontaire d’activité s’entend de l’abandon de l’ensemble de l’activité industrielle, commerciale ou artisanale ou professionnelle, qui ne serait pas dû à un événement de force majeure. La délocalisation d’une entreprise ou d’un organisme dans un lieu autre qu’une zone France ruralités revitalisation s’entend du transfert physique de son lieu d’exploitation dans une commune qui n’est pas située en FRR.</w:t>
      </w:r>
    </w:p>
    <w:p w14:paraId="50722626" w14:textId="77777777" w:rsidR="001E01AF" w:rsidRDefault="001E01AF">
      <w:pPr>
        <w:pStyle w:val="Paragraphedeliste"/>
        <w:numPr>
          <w:ilvl w:val="0"/>
          <w:numId w:val="25"/>
        </w:numPr>
        <w:jc w:val="both"/>
        <w:rPr>
          <w:b/>
          <w:i/>
          <w:vanish/>
          <w:u w:val="single"/>
        </w:rPr>
      </w:pPr>
    </w:p>
    <w:p w14:paraId="462E4D48" w14:textId="77777777" w:rsidR="001E01AF" w:rsidRDefault="001E01AF">
      <w:pPr>
        <w:pStyle w:val="Paragraphedeliste"/>
        <w:numPr>
          <w:ilvl w:val="1"/>
          <w:numId w:val="25"/>
        </w:numPr>
        <w:jc w:val="both"/>
        <w:rPr>
          <w:b/>
          <w:i/>
          <w:vanish/>
          <w:u w:val="single"/>
        </w:rPr>
      </w:pPr>
    </w:p>
    <w:p w14:paraId="795795F3" w14:textId="77777777" w:rsidR="001E01AF" w:rsidRPr="002152AA" w:rsidRDefault="00AF646F" w:rsidP="002152AA">
      <w:pPr>
        <w:pStyle w:val="Titre3"/>
        <w:rPr>
          <w:i/>
          <w:color w:val="auto"/>
          <w:sz w:val="24"/>
          <w:u w:val="single"/>
        </w:rPr>
      </w:pPr>
      <w:bookmarkStart w:id="77" w:name="_Toc192849404"/>
      <w:r w:rsidRPr="002152AA">
        <w:rPr>
          <w:i/>
          <w:color w:val="auto"/>
          <w:sz w:val="24"/>
          <w:u w:val="single"/>
        </w:rPr>
        <w:t>Qu’en est-il des dispositifs d’exonérations sociales ?</w:t>
      </w:r>
      <w:bookmarkEnd w:id="77"/>
    </w:p>
    <w:p w14:paraId="3102B7AA" w14:textId="77777777" w:rsidR="002152AA" w:rsidRDefault="002152AA">
      <w:pPr>
        <w:jc w:val="both"/>
      </w:pPr>
    </w:p>
    <w:p w14:paraId="30208077" w14:textId="71CF1919" w:rsidR="001E01AF" w:rsidRDefault="00AF646F">
      <w:pPr>
        <w:jc w:val="both"/>
      </w:pPr>
      <w:r>
        <w:t>Les entreprises implantées en FRR bénéficient du même régime social que celles implantées en zone de revitalisation rurale.</w:t>
      </w:r>
    </w:p>
    <w:p w14:paraId="69ED325D" w14:textId="77777777" w:rsidR="001E01AF" w:rsidRDefault="00AF646F">
      <w:pPr>
        <w:jc w:val="both"/>
      </w:pPr>
      <w:r>
        <w:t>Elles peuvent donc, sous certaines conditions, bénéficier d’une exonération de cotisations patronales d’assurance maladie, d’assurance vieillesse et d’allocations familiales pour l’embauche du premier au cinquantième salarié.</w:t>
      </w:r>
    </w:p>
    <w:p w14:paraId="71E40179" w14:textId="6397BDE1" w:rsidR="00666BC4" w:rsidRPr="00ED57BF" w:rsidRDefault="00AF646F">
      <w:pPr>
        <w:jc w:val="both"/>
        <w:rPr>
          <w:color w:val="000000" w:themeColor="text1"/>
        </w:rPr>
      </w:pPr>
      <w:r>
        <w:rPr>
          <w:color w:val="000000" w:themeColor="text1"/>
        </w:rPr>
        <w:t xml:space="preserve">Cette </w:t>
      </w:r>
      <w:r w:rsidRPr="002C5F51">
        <w:rPr>
          <w:b/>
          <w:color w:val="000000" w:themeColor="text1"/>
        </w:rPr>
        <w:t>exonération d’une durée maximale de 12 mois</w:t>
      </w:r>
      <w:r>
        <w:rPr>
          <w:color w:val="000000" w:themeColor="text1"/>
        </w:rPr>
        <w:t xml:space="preserve"> à compter de la date d’effet de l’embauche du salarié est </w:t>
      </w:r>
      <w:r w:rsidRPr="002C5F51">
        <w:rPr>
          <w:b/>
          <w:color w:val="000000" w:themeColor="text1"/>
        </w:rPr>
        <w:t xml:space="preserve">totale pour une rémunération horaire inférieure ou égale à 150 % du Smic puis décroît de manière dégressive </w:t>
      </w:r>
      <w:r w:rsidRPr="002C5F51">
        <w:rPr>
          <w:color w:val="000000" w:themeColor="text1"/>
        </w:rPr>
        <w:t>et s’annule pour une rémunération horaire égale ou supérieure à 240 % du Smic.</w:t>
      </w:r>
    </w:p>
    <w:p w14:paraId="0956FF33" w14:textId="77777777" w:rsidR="001E01AF" w:rsidRDefault="00AF646F">
      <w:pPr>
        <w:jc w:val="both"/>
        <w:rPr>
          <w:color w:val="000000" w:themeColor="text1"/>
        </w:rPr>
      </w:pPr>
      <w:r>
        <w:rPr>
          <w:color w:val="000000" w:themeColor="text1"/>
        </w:rPr>
        <w:t>Pour bénéficier de cette exonération, l’entreprise ou le groupement d’employeurs doit respecter les conditions suivantes</w:t>
      </w:r>
      <w:r>
        <w:rPr>
          <w:rFonts w:ascii="Calibri" w:hAnsi="Calibri" w:cs="Calibri"/>
          <w:color w:val="000000" w:themeColor="text1"/>
        </w:rPr>
        <w:t> </w:t>
      </w:r>
      <w:r>
        <w:rPr>
          <w:color w:val="000000" w:themeColor="text1"/>
        </w:rPr>
        <w:t>:</w:t>
      </w:r>
    </w:p>
    <w:p w14:paraId="6988FFDF" w14:textId="77777777" w:rsidR="001E01AF" w:rsidRDefault="00AF646F">
      <w:pPr>
        <w:pStyle w:val="Paragraphedeliste"/>
        <w:numPr>
          <w:ilvl w:val="0"/>
          <w:numId w:val="2"/>
        </w:numPr>
        <w:jc w:val="both"/>
        <w:rPr>
          <w:color w:val="000000" w:themeColor="text1"/>
        </w:rPr>
      </w:pPr>
      <w:r>
        <w:t>Exercer une activité artisanale, industrielle, commerciale, agricole, ou non commerciale</w:t>
      </w:r>
      <w:r>
        <w:rPr>
          <w:rFonts w:ascii="Calibri" w:hAnsi="Calibri" w:cs="Calibri"/>
        </w:rPr>
        <w:t> </w:t>
      </w:r>
      <w:r>
        <w:t>;</w:t>
      </w:r>
    </w:p>
    <w:p w14:paraId="47CCFEA1" w14:textId="77777777" w:rsidR="001E01AF" w:rsidRDefault="00AF646F">
      <w:pPr>
        <w:pStyle w:val="Paragraphedeliste"/>
        <w:numPr>
          <w:ilvl w:val="0"/>
          <w:numId w:val="2"/>
        </w:numPr>
        <w:jc w:val="both"/>
        <w:rPr>
          <w:color w:val="000000" w:themeColor="text1"/>
        </w:rPr>
      </w:pPr>
      <w:r>
        <w:rPr>
          <w:color w:val="000000" w:themeColor="text1"/>
        </w:rPr>
        <w:t>Employer moins de 50 salariés</w:t>
      </w:r>
      <w:r>
        <w:rPr>
          <w:rFonts w:ascii="Calibri" w:hAnsi="Calibri" w:cs="Calibri"/>
          <w:color w:val="000000" w:themeColor="text1"/>
        </w:rPr>
        <w:t> </w:t>
      </w:r>
      <w:r>
        <w:rPr>
          <w:color w:val="000000" w:themeColor="text1"/>
        </w:rPr>
        <w:t>;</w:t>
      </w:r>
    </w:p>
    <w:p w14:paraId="1E51408E" w14:textId="77777777" w:rsidR="001E01AF" w:rsidRDefault="00AF646F">
      <w:pPr>
        <w:pStyle w:val="Paragraphedeliste"/>
        <w:numPr>
          <w:ilvl w:val="0"/>
          <w:numId w:val="2"/>
        </w:numPr>
        <w:jc w:val="both"/>
        <w:rPr>
          <w:color w:val="000000" w:themeColor="text1"/>
        </w:rPr>
      </w:pPr>
      <w:r>
        <w:rPr>
          <w:color w:val="000000" w:themeColor="text1"/>
        </w:rPr>
        <w:t>Embaucher dans un établissement situé en FRR (salarié en CDI ou CDD d’au moins 12 mois)</w:t>
      </w:r>
      <w:r>
        <w:rPr>
          <w:rFonts w:ascii="Calibri" w:hAnsi="Calibri" w:cs="Calibri"/>
          <w:color w:val="000000" w:themeColor="text1"/>
        </w:rPr>
        <w:t> </w:t>
      </w:r>
      <w:r>
        <w:rPr>
          <w:color w:val="000000" w:themeColor="text1"/>
        </w:rPr>
        <w:t>;</w:t>
      </w:r>
    </w:p>
    <w:p w14:paraId="2E2647CD" w14:textId="77777777" w:rsidR="001E01AF" w:rsidRDefault="00AF646F">
      <w:pPr>
        <w:pStyle w:val="Paragraphedeliste"/>
        <w:numPr>
          <w:ilvl w:val="0"/>
          <w:numId w:val="2"/>
        </w:numPr>
        <w:jc w:val="both"/>
        <w:rPr>
          <w:color w:val="000000" w:themeColor="text1"/>
        </w:rPr>
      </w:pPr>
      <w:r>
        <w:rPr>
          <w:color w:val="000000" w:themeColor="text1"/>
        </w:rPr>
        <w:t>Ne pas avoir procédé à un licenciement pour motif économique dans les 12 mois précédant l’embauche.</w:t>
      </w:r>
    </w:p>
    <w:p w14:paraId="0D9D5081" w14:textId="77777777" w:rsidR="001E01AF" w:rsidRDefault="00AF646F">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les organismes d’intérêt général (OIG) dont le siège social est en FRR peuvent également bénéficier de cette exonération, dans les mêmes conditions, pour leurs salariés embauchés dans ces mêmes zones depuis le 1</w:t>
      </w:r>
      <w:r>
        <w:rPr>
          <w:color w:val="000000" w:themeColor="text1"/>
          <w:vertAlign w:val="superscript"/>
        </w:rPr>
        <w:t>er</w:t>
      </w:r>
      <w:r>
        <w:rPr>
          <w:color w:val="000000" w:themeColor="text1"/>
        </w:rPr>
        <w:t xml:space="preserve"> novembre 2007. </w:t>
      </w:r>
    </w:p>
    <w:p w14:paraId="67260DD9" w14:textId="77777777" w:rsidR="001E01AF" w:rsidRDefault="00AF646F">
      <w:pPr>
        <w:jc w:val="both"/>
        <w:rPr>
          <w:color w:val="000000" w:themeColor="text1"/>
        </w:rPr>
      </w:pPr>
      <w:r>
        <w:rPr>
          <w:color w:val="000000" w:themeColor="text1"/>
        </w:rPr>
        <w:t>Le nouveau zonage n’a pas de conséquence sur le régime social applicable aux contrats conclus dans les OIG de moins de 500 salariés en ZRR avant le 1</w:t>
      </w:r>
      <w:r>
        <w:rPr>
          <w:color w:val="000000" w:themeColor="text1"/>
          <w:vertAlign w:val="superscript"/>
        </w:rPr>
        <w:t>er</w:t>
      </w:r>
      <w:r>
        <w:rPr>
          <w:rFonts w:ascii="Calibri" w:hAnsi="Calibri" w:cs="Calibri"/>
          <w:color w:val="000000" w:themeColor="text1"/>
        </w:rPr>
        <w:t> </w:t>
      </w:r>
      <w:r>
        <w:rPr>
          <w:color w:val="000000" w:themeColor="text1"/>
        </w:rPr>
        <w:t>novembre</w:t>
      </w:r>
      <w:r>
        <w:rPr>
          <w:rFonts w:ascii="Calibri" w:hAnsi="Calibri" w:cs="Calibri"/>
          <w:color w:val="000000" w:themeColor="text1"/>
        </w:rPr>
        <w:t> </w:t>
      </w:r>
      <w:r>
        <w:rPr>
          <w:color w:val="000000" w:themeColor="text1"/>
        </w:rPr>
        <w:t xml:space="preserve">2007. L’exonération s’applique dans ce cadre jusqu’au terme du contrat et vise également les contributions patronales de Fonds national d’aide au logement (FNAL) et de versement mobilité. </w:t>
      </w:r>
    </w:p>
    <w:p w14:paraId="39EE2562" w14:textId="77777777" w:rsidR="001E01AF" w:rsidRDefault="00AF646F">
      <w:pPr>
        <w:jc w:val="both"/>
      </w:pPr>
      <w:r w:rsidRPr="002C5F51">
        <w:rPr>
          <w:b/>
          <w:color w:val="000000" w:themeColor="text1"/>
          <w:u w:val="single"/>
        </w:rPr>
        <w:t>Quelle procédure</w:t>
      </w:r>
      <w:r w:rsidRPr="002C5F51">
        <w:rPr>
          <w:rFonts w:ascii="Calibri" w:hAnsi="Calibri" w:cs="Calibri"/>
          <w:b/>
          <w:color w:val="000000" w:themeColor="text1"/>
          <w:u w:val="single"/>
        </w:rPr>
        <w:t> </w:t>
      </w:r>
      <w:r w:rsidRPr="002C5F51">
        <w:rPr>
          <w:b/>
          <w:color w:val="000000" w:themeColor="text1"/>
          <w:u w:val="single"/>
        </w:rPr>
        <w:t>? :</w:t>
      </w:r>
      <w:r>
        <w:rPr>
          <w:color w:val="000000" w:themeColor="text1"/>
        </w:rPr>
        <w:t xml:space="preserve"> pour bénéficier de l’exonération, l’entreprise doit envoyer, dans le délai de 30 jours à compter de la date d’effet du contrat de travail, une déclaration d’exonération à la </w:t>
      </w:r>
      <w:r>
        <w:t>Direction départementale en charge de l'emploi, du travail et des solidarités (DDETS).</w:t>
      </w:r>
    </w:p>
    <w:p w14:paraId="72E8D0E9" w14:textId="6B3AC193" w:rsidR="001E01AF" w:rsidRDefault="00AF646F">
      <w:pPr>
        <w:jc w:val="both"/>
        <w:rPr>
          <w:color w:val="000000" w:themeColor="text1"/>
        </w:rPr>
      </w:pPr>
      <w:r>
        <w:rPr>
          <w:color w:val="000000" w:themeColor="text1"/>
        </w:rPr>
        <w:t>L’exonération n’est pas cumulable, pour l’emploi d’un même salarié, avec :</w:t>
      </w:r>
    </w:p>
    <w:p w14:paraId="68A36711" w14:textId="77777777" w:rsidR="001E01AF" w:rsidRDefault="00AF646F">
      <w:pPr>
        <w:pStyle w:val="Paragraphedeliste"/>
        <w:numPr>
          <w:ilvl w:val="0"/>
          <w:numId w:val="2"/>
        </w:numPr>
        <w:jc w:val="both"/>
        <w:rPr>
          <w:color w:val="000000" w:themeColor="text1"/>
        </w:rPr>
      </w:pPr>
      <w:r>
        <w:rPr>
          <w:color w:val="000000" w:themeColor="text1"/>
        </w:rPr>
        <w:t>une aide de l’État à l’emploi</w:t>
      </w:r>
      <w:r>
        <w:rPr>
          <w:rFonts w:ascii="Calibri" w:hAnsi="Calibri" w:cs="Calibri"/>
          <w:color w:val="000000" w:themeColor="text1"/>
        </w:rPr>
        <w:t> </w:t>
      </w:r>
      <w:r>
        <w:rPr>
          <w:color w:val="000000" w:themeColor="text1"/>
        </w:rPr>
        <w:t>;</w:t>
      </w:r>
    </w:p>
    <w:p w14:paraId="5FB5D91B" w14:textId="77777777" w:rsidR="001E01AF" w:rsidRDefault="00AF646F">
      <w:pPr>
        <w:pStyle w:val="Paragraphedeliste"/>
        <w:numPr>
          <w:ilvl w:val="0"/>
          <w:numId w:val="2"/>
        </w:numPr>
        <w:jc w:val="both"/>
        <w:rPr>
          <w:color w:val="000000" w:themeColor="text1"/>
        </w:rPr>
      </w:pPr>
      <w:r>
        <w:rPr>
          <w:color w:val="000000" w:themeColor="text1"/>
        </w:rPr>
        <w:t>une exonération totale ou partielle de cotisations patronales de sécurité sociale (à l’exception de la déduction forfaitaire de cotisations patronales au titre des heures supplémentaires)</w:t>
      </w:r>
      <w:r>
        <w:rPr>
          <w:rFonts w:ascii="Calibri" w:hAnsi="Calibri" w:cs="Calibri"/>
          <w:color w:val="000000" w:themeColor="text1"/>
        </w:rPr>
        <w:t> </w:t>
      </w:r>
      <w:r>
        <w:rPr>
          <w:color w:val="000000" w:themeColor="text1"/>
        </w:rPr>
        <w:t>;</w:t>
      </w:r>
    </w:p>
    <w:p w14:paraId="5E56CA28" w14:textId="77777777" w:rsidR="001E01AF" w:rsidRDefault="00AF646F">
      <w:pPr>
        <w:pStyle w:val="Paragraphedeliste"/>
        <w:numPr>
          <w:ilvl w:val="0"/>
          <w:numId w:val="2"/>
        </w:numPr>
        <w:jc w:val="both"/>
        <w:rPr>
          <w:color w:val="000000" w:themeColor="text1"/>
        </w:rPr>
      </w:pPr>
      <w:r>
        <w:rPr>
          <w:color w:val="000000" w:themeColor="text1"/>
        </w:rPr>
        <w:lastRenderedPageBreak/>
        <w:t>une assiette ou un montant forfaitaire de cotisations ;</w:t>
      </w:r>
    </w:p>
    <w:p w14:paraId="42964935" w14:textId="77777777" w:rsidR="001E01AF" w:rsidRDefault="00AF646F">
      <w:pPr>
        <w:pStyle w:val="Paragraphedeliste"/>
        <w:numPr>
          <w:ilvl w:val="0"/>
          <w:numId w:val="2"/>
        </w:numPr>
        <w:jc w:val="both"/>
        <w:rPr>
          <w:color w:val="000000" w:themeColor="text1"/>
        </w:rPr>
      </w:pPr>
      <w:r>
        <w:rPr>
          <w:color w:val="000000" w:themeColor="text1"/>
        </w:rPr>
        <w:t>l’application de taux spécifiques.</w:t>
      </w:r>
    </w:p>
    <w:p w14:paraId="3FAA4D8C" w14:textId="53356CF2" w:rsidR="00A74DF0" w:rsidRDefault="00AF646F" w:rsidP="00C064EF">
      <w:pPr>
        <w:jc w:val="both"/>
        <w:rPr>
          <w:color w:val="000000" w:themeColor="text1"/>
        </w:rPr>
      </w:pPr>
      <w:r>
        <w:rPr>
          <w:color w:val="000000" w:themeColor="text1"/>
        </w:rPr>
        <w:t>Si l'entreprise délocalise son activité dans une commune hors FRR moins de 5 ans après avoir bénéficié de l'exonération, elle doit rembourser les sommes exonérées (sauf cas de force majeure).</w:t>
      </w:r>
    </w:p>
    <w:p w14:paraId="43A161B2" w14:textId="77777777" w:rsidR="00FF0280" w:rsidRDefault="00FF0280" w:rsidP="00C064EF">
      <w:pPr>
        <w:jc w:val="both"/>
        <w:rPr>
          <w:color w:val="000000" w:themeColor="text1"/>
        </w:rPr>
      </w:pPr>
    </w:p>
    <w:p w14:paraId="723CC251" w14:textId="77777777" w:rsidR="001E01AF" w:rsidRPr="00A47246" w:rsidRDefault="00AF646F" w:rsidP="00FF0280">
      <w:pPr>
        <w:pStyle w:val="Titre2"/>
        <w:pageBreakBefore w:val="0"/>
        <w:rPr>
          <w:i/>
          <w:u w:val="single"/>
        </w:rPr>
      </w:pPr>
      <w:bookmarkStart w:id="78" w:name="_Toc192844123"/>
      <w:bookmarkStart w:id="79" w:name="_Toc192849405"/>
      <w:r w:rsidRPr="00A47246">
        <w:rPr>
          <w:i/>
          <w:sz w:val="28"/>
          <w:u w:val="single"/>
        </w:rPr>
        <w:t>Quels sont les autres avantages adossés au classement FRR</w:t>
      </w:r>
      <w:r w:rsidRPr="00A47246">
        <w:rPr>
          <w:rFonts w:ascii="Calibri" w:hAnsi="Calibri" w:cs="Calibri"/>
          <w:i/>
          <w:sz w:val="28"/>
          <w:u w:val="single"/>
        </w:rPr>
        <w:t> </w:t>
      </w:r>
      <w:r w:rsidRPr="00A47246">
        <w:rPr>
          <w:rFonts w:cs="Calibri"/>
          <w:i/>
          <w:sz w:val="28"/>
          <w:u w:val="single"/>
        </w:rPr>
        <w:t>?</w:t>
      </w:r>
      <w:bookmarkEnd w:id="78"/>
      <w:bookmarkEnd w:id="79"/>
    </w:p>
    <w:p w14:paraId="75ED3FCA" w14:textId="77777777" w:rsidR="00E24A9E" w:rsidRDefault="00E24A9E">
      <w:pPr>
        <w:jc w:val="both"/>
      </w:pPr>
    </w:p>
    <w:p w14:paraId="1FF7826E" w14:textId="1AD84574" w:rsidR="001E01AF" w:rsidRDefault="00AF646F">
      <w:pPr>
        <w:jc w:val="both"/>
      </w:pPr>
      <w:r>
        <w:t xml:space="preserve">Le soutien aux territoires ruraux apporté par les lois de finances pour 2024 et 2025 ne se limite pas aux dispositifs d’exonérations fiscales et sociales attachés au zonage France ruralités revitalisation. Les collectivités situées en zone France ruralités revitalisation bénéficient, en effet, d’autres avantages adossés à ce classement. Ces mesures, qui interviennent dans des domaines très variés, s’adressent aux collectivités, dont elles favorisent le développement, et à leurs habitants, en leur facilitant notamment l’accès aux services publics, aux soins et à la formation. </w:t>
      </w:r>
    </w:p>
    <w:p w14:paraId="20E606FA" w14:textId="48A2E443" w:rsidR="001E01AF" w:rsidRPr="00166E6F" w:rsidRDefault="00AF646F" w:rsidP="00166E6F">
      <w:pPr>
        <w:jc w:val="both"/>
      </w:pPr>
      <w:r>
        <w:t>L’ensemble des mesures décrites ci-dessous sont non exhaustives et sont applicables à compter du 1</w:t>
      </w:r>
      <w:r>
        <w:rPr>
          <w:vertAlign w:val="superscript"/>
        </w:rPr>
        <w:t>er</w:t>
      </w:r>
      <w:r>
        <w:t xml:space="preserve"> juillet 2024, sauf indication contraire.</w:t>
      </w:r>
    </w:p>
    <w:p w14:paraId="33A65E4B" w14:textId="771972C4" w:rsidR="001E01AF" w:rsidRPr="00DF0883" w:rsidRDefault="00AF646F" w:rsidP="00380CF7">
      <w:pPr>
        <w:pStyle w:val="Titre3"/>
        <w:ind w:left="567"/>
        <w:rPr>
          <w:i/>
          <w:color w:val="auto"/>
          <w:sz w:val="24"/>
          <w:u w:val="single"/>
        </w:rPr>
      </w:pPr>
      <w:bookmarkStart w:id="80" w:name="_Toc192849406"/>
      <w:r w:rsidRPr="00DF0883">
        <w:rPr>
          <w:i/>
          <w:color w:val="auto"/>
          <w:sz w:val="24"/>
          <w:u w:val="single"/>
        </w:rPr>
        <w:t>L’inclusion dans le zonage FRR permet à une commune de bénéficier d’un soutien financier renforcé de l’Etat</w:t>
      </w:r>
      <w:bookmarkEnd w:id="80"/>
    </w:p>
    <w:p w14:paraId="107C22F0" w14:textId="2654C01E" w:rsidR="001E01AF" w:rsidRPr="0026026C" w:rsidRDefault="00E24A9E">
      <w:pPr>
        <w:tabs>
          <w:tab w:val="left" w:pos="1190"/>
        </w:tabs>
        <w:spacing w:after="0" w:line="240" w:lineRule="auto"/>
        <w:jc w:val="both"/>
        <w:rPr>
          <w:rStyle w:val="fontstyle01"/>
          <w:rFonts w:ascii="Marianne" w:eastAsia="Calibri" w:hAnsi="Marianne"/>
          <w:color w:val="000000" w:themeColor="text1"/>
          <w:sz w:val="22"/>
          <w:szCs w:val="22"/>
        </w:rPr>
      </w:pPr>
      <w:r>
        <w:rPr>
          <w:rFonts w:cs="Arial"/>
          <w:noProof/>
          <w:lang w:eastAsia="fr-FR"/>
        </w:rPr>
        <mc:AlternateContent>
          <mc:Choice Requires="wps">
            <w:drawing>
              <wp:anchor distT="0" distB="0" distL="114300" distR="114300" simplePos="0" relativeHeight="251669504" behindDoc="0" locked="0" layoutInCell="1" allowOverlap="1" wp14:anchorId="28B2E057" wp14:editId="4D912FFE">
                <wp:simplePos x="0" y="0"/>
                <wp:positionH relativeFrom="column">
                  <wp:posOffset>-808990</wp:posOffset>
                </wp:positionH>
                <wp:positionV relativeFrom="paragraph">
                  <wp:posOffset>117344</wp:posOffset>
                </wp:positionV>
                <wp:extent cx="809296" cy="294289"/>
                <wp:effectExtent l="0" t="0" r="10160" b="10795"/>
                <wp:wrapNone/>
                <wp:docPr id="11" name="Rectangle à coins arrondis 11"/>
                <wp:cNvGraphicFramePr/>
                <a:graphic xmlns:a="http://schemas.openxmlformats.org/drawingml/2006/main">
                  <a:graphicData uri="http://schemas.microsoft.com/office/word/2010/wordprocessingShape">
                    <wps:wsp>
                      <wps:cNvSpPr/>
                      <wps:spPr>
                        <a:xfrm>
                          <a:off x="0" y="0"/>
                          <a:ext cx="809296" cy="294289"/>
                        </a:xfrm>
                        <a:prstGeom prst="roundRect">
                          <a:avLst/>
                        </a:prstGeom>
                        <a:solidFill>
                          <a:schemeClr val="accent5">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B4741A" w14:textId="363EEA55" w:rsidR="00E24A9E" w:rsidRPr="00774AB8" w:rsidRDefault="00E24A9E" w:rsidP="00E24A9E">
                            <w:pPr>
                              <w:jc w:val="center"/>
                              <w:rPr>
                                <w:b/>
                              </w:rPr>
                            </w:pPr>
                            <w:r>
                              <w:rPr>
                                <w:b/>
                                <w:sz w:val="20"/>
                              </w:rPr>
                              <w:t>Nouveau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2E057" id="Rectangle à coins arrondis 11" o:spid="_x0000_s1034" style="position:absolute;left:0;text-align:left;margin-left:-63.7pt;margin-top:9.25pt;width:63.7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" fillcolor="#b4c6e7 [1304]" strokecolor="black [3213]" strokeweight="1pt">
                <v:stroke joinstyle="miter"/>
                <v:textbox>
                  <w:txbxContent>
                    <w:p w14:paraId="4DB4741A" w14:textId="363EEA55" w:rsidR="00E24A9E" w:rsidRPr="00774AB8" w:rsidRDefault="00E24A9E" w:rsidP="00E24A9E">
                      <w:pPr>
                        <w:jc w:val="center"/>
                        <w:rPr>
                          <w:b/>
                        </w:rPr>
                      </w:pPr>
                      <w:r>
                        <w:rPr>
                          <w:b/>
                          <w:sz w:val="20"/>
                        </w:rPr>
                        <w:t>Nouveau</w:t>
                      </w:r>
                    </w:p>
                  </w:txbxContent>
                </v:textbox>
              </v:roundrect>
            </w:pict>
          </mc:Fallback>
        </mc:AlternateContent>
      </w:r>
    </w:p>
    <w:p w14:paraId="055513CD" w14:textId="655D29C7" w:rsidR="001E01AF" w:rsidRPr="0026026C" w:rsidRDefault="00AF646F">
      <w:pPr>
        <w:pStyle w:val="Paragraphedeliste"/>
        <w:numPr>
          <w:ilvl w:val="0"/>
          <w:numId w:val="14"/>
        </w:numPr>
        <w:jc w:val="both"/>
        <w:rPr>
          <w:rStyle w:val="fontstyle01"/>
          <w:rFonts w:ascii="Marianne" w:eastAsia="Calibri" w:hAnsi="Marianne"/>
          <w:i/>
          <w:color w:val="000000" w:themeColor="text1"/>
          <w:sz w:val="22"/>
          <w:szCs w:val="22"/>
        </w:rPr>
      </w:pPr>
      <w:r w:rsidRPr="0026026C">
        <w:rPr>
          <w:rStyle w:val="fontstyle01"/>
          <w:rFonts w:ascii="Marianne" w:eastAsia="Calibri" w:hAnsi="Marianne"/>
          <w:b/>
          <w:color w:val="000000" w:themeColor="text1"/>
          <w:sz w:val="22"/>
          <w:szCs w:val="22"/>
        </w:rPr>
        <w:t>Majoration de dotation de solidarité rurale (DSR)</w:t>
      </w:r>
    </w:p>
    <w:p w14:paraId="4FF9912F" w14:textId="266D190A" w:rsidR="0026026C" w:rsidRPr="00E24A9E" w:rsidRDefault="0026026C" w:rsidP="0026026C">
      <w:pPr>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 xml:space="preserve">Les communes dont le territoire, ou une partie du territoire, est </w:t>
      </w:r>
      <w:r w:rsidR="00944CDF" w:rsidRPr="00E24A9E">
        <w:rPr>
          <w:rStyle w:val="fontstyle01"/>
          <w:rFonts w:ascii="Marianne" w:eastAsia="Calibri" w:hAnsi="Marianne"/>
          <w:color w:val="000000" w:themeColor="text1"/>
          <w:sz w:val="22"/>
        </w:rPr>
        <w:t>classé en</w:t>
      </w:r>
      <w:r w:rsidRPr="00E24A9E">
        <w:rPr>
          <w:rStyle w:val="fontstyle01"/>
          <w:rFonts w:ascii="Marianne" w:eastAsia="Calibri" w:hAnsi="Marianne"/>
          <w:color w:val="000000" w:themeColor="text1"/>
          <w:sz w:val="22"/>
        </w:rPr>
        <w:t xml:space="preserve"> FRR bénéficient de deux majorations différentes au titre de deux fractions de la </w:t>
      </w:r>
      <w:r w:rsidRPr="00E24A9E">
        <w:rPr>
          <w:rStyle w:val="fontstyle01"/>
          <w:rFonts w:ascii="Marianne" w:eastAsia="Calibri" w:hAnsi="Marianne"/>
          <w:b/>
          <w:color w:val="000000" w:themeColor="text1"/>
          <w:sz w:val="22"/>
        </w:rPr>
        <w:t>dotation de solidarité rurale</w:t>
      </w:r>
      <w:r w:rsidRPr="00E24A9E">
        <w:rPr>
          <w:rStyle w:val="fontstyle01"/>
          <w:rFonts w:ascii="Marianne" w:eastAsia="Calibri" w:hAnsi="Marianne"/>
          <w:color w:val="000000" w:themeColor="text1"/>
          <w:sz w:val="22"/>
        </w:rPr>
        <w:t xml:space="preserve"> (DSR), l’une des composantes de la dotation globale de fonctionnement (DGF) des communes. </w:t>
      </w:r>
    </w:p>
    <w:p w14:paraId="34438A46" w14:textId="77777777" w:rsidR="0026026C" w:rsidRPr="00E24A9E" w:rsidRDefault="0026026C" w:rsidP="0026026C">
      <w:pPr>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Il s’agit</w:t>
      </w:r>
      <w:r w:rsidRPr="00E24A9E">
        <w:rPr>
          <w:rStyle w:val="fontstyle01"/>
          <w:rFonts w:ascii="Calibri" w:eastAsia="Calibri" w:hAnsi="Calibri" w:cs="Calibri"/>
          <w:color w:val="000000" w:themeColor="text1"/>
          <w:sz w:val="22"/>
        </w:rPr>
        <w:t> </w:t>
      </w:r>
      <w:r w:rsidRPr="00E24A9E">
        <w:rPr>
          <w:rStyle w:val="fontstyle01"/>
          <w:rFonts w:ascii="Marianne" w:eastAsia="Calibri" w:hAnsi="Marianne"/>
          <w:color w:val="000000" w:themeColor="text1"/>
          <w:sz w:val="22"/>
        </w:rPr>
        <w:t xml:space="preserve">: </w:t>
      </w:r>
    </w:p>
    <w:p w14:paraId="1E1C5CE0" w14:textId="77777777" w:rsidR="0026026C" w:rsidRPr="00E24A9E" w:rsidRDefault="0026026C" w:rsidP="0026026C">
      <w:pPr>
        <w:pStyle w:val="Paragraphedeliste"/>
        <w:numPr>
          <w:ilvl w:val="0"/>
          <w:numId w:val="39"/>
        </w:numPr>
        <w:suppressAutoHyphens w:val="0"/>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D’une</w:t>
      </w:r>
      <w:r w:rsidRPr="00E24A9E">
        <w:rPr>
          <w:rStyle w:val="fontstyle01"/>
          <w:rFonts w:ascii="Marianne" w:eastAsia="Calibri" w:hAnsi="Marianne"/>
          <w:b/>
          <w:color w:val="000000" w:themeColor="text1"/>
          <w:sz w:val="22"/>
        </w:rPr>
        <w:t xml:space="preserve"> majoration de 30% de la fraction «</w:t>
      </w:r>
      <w:r w:rsidRPr="00E24A9E">
        <w:rPr>
          <w:rStyle w:val="fontstyle01"/>
          <w:rFonts w:ascii="Calibri" w:eastAsia="Calibri" w:hAnsi="Calibri" w:cs="Calibri"/>
          <w:b/>
          <w:color w:val="000000" w:themeColor="text1"/>
          <w:sz w:val="22"/>
        </w:rPr>
        <w:t> </w:t>
      </w:r>
      <w:r w:rsidRPr="00E24A9E">
        <w:rPr>
          <w:rStyle w:val="fontstyle01"/>
          <w:rFonts w:ascii="Marianne" w:eastAsia="Calibri" w:hAnsi="Marianne"/>
          <w:b/>
          <w:color w:val="000000" w:themeColor="text1"/>
          <w:sz w:val="22"/>
        </w:rPr>
        <w:t>bourg-centre</w:t>
      </w:r>
      <w:r w:rsidRPr="00E24A9E">
        <w:rPr>
          <w:rStyle w:val="fontstyle01"/>
          <w:rFonts w:ascii="Calibri" w:eastAsia="Calibri" w:hAnsi="Calibri" w:cs="Calibri"/>
          <w:b/>
          <w:color w:val="000000" w:themeColor="text1"/>
          <w:sz w:val="22"/>
        </w:rPr>
        <w:t> </w:t>
      </w:r>
      <w:r w:rsidRPr="00E24A9E">
        <w:rPr>
          <w:rStyle w:val="fontstyle01"/>
          <w:rFonts w:ascii="Marianne" w:eastAsia="Calibri" w:hAnsi="Marianne" w:cs="Marianne"/>
          <w:b/>
          <w:color w:val="000000" w:themeColor="text1"/>
          <w:sz w:val="22"/>
        </w:rPr>
        <w:t>»</w:t>
      </w:r>
      <w:r w:rsidRPr="00E24A9E">
        <w:rPr>
          <w:rStyle w:val="fontstyle01"/>
          <w:rFonts w:ascii="Marianne" w:eastAsia="Calibri" w:hAnsi="Marianne"/>
          <w:b/>
          <w:color w:val="000000" w:themeColor="text1"/>
          <w:sz w:val="22"/>
        </w:rPr>
        <w:t xml:space="preserve"> de la DSR </w:t>
      </w:r>
      <w:r w:rsidRPr="00E24A9E">
        <w:rPr>
          <w:rStyle w:val="fontstyle01"/>
          <w:rFonts w:ascii="Marianne" w:eastAsia="Calibri" w:hAnsi="Marianne"/>
          <w:color w:val="000000" w:themeColor="text1"/>
          <w:sz w:val="22"/>
        </w:rPr>
        <w:t>(article L. 2334-21 du CGCT)</w:t>
      </w:r>
      <w:r w:rsidRPr="00E24A9E">
        <w:rPr>
          <w:rStyle w:val="fontstyle01"/>
          <w:rFonts w:ascii="Calibri" w:eastAsia="Calibri" w:hAnsi="Calibri" w:cs="Calibri"/>
          <w:color w:val="000000" w:themeColor="text1"/>
          <w:sz w:val="22"/>
        </w:rPr>
        <w:t> </w:t>
      </w:r>
      <w:r w:rsidRPr="00E24A9E">
        <w:rPr>
          <w:rStyle w:val="fontstyle01"/>
          <w:rFonts w:ascii="Marianne" w:eastAsia="Calibri" w:hAnsi="Marianne"/>
          <w:color w:val="000000" w:themeColor="text1"/>
          <w:sz w:val="22"/>
        </w:rPr>
        <w:t xml:space="preserve">; </w:t>
      </w:r>
    </w:p>
    <w:p w14:paraId="4123AEC1" w14:textId="77777777" w:rsidR="0026026C" w:rsidRPr="00E24A9E" w:rsidRDefault="0026026C" w:rsidP="0026026C">
      <w:pPr>
        <w:pStyle w:val="Paragraphedeliste"/>
        <w:numPr>
          <w:ilvl w:val="0"/>
          <w:numId w:val="39"/>
        </w:numPr>
        <w:suppressAutoHyphens w:val="0"/>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 xml:space="preserve">D’une </w:t>
      </w:r>
      <w:r w:rsidRPr="00E24A9E">
        <w:rPr>
          <w:rStyle w:val="fontstyle01"/>
          <w:rFonts w:ascii="Marianne" w:eastAsia="Calibri" w:hAnsi="Marianne"/>
          <w:b/>
          <w:color w:val="000000" w:themeColor="text1"/>
          <w:sz w:val="22"/>
        </w:rPr>
        <w:t>majoration de 20% de la fraction «</w:t>
      </w:r>
      <w:r w:rsidRPr="00E24A9E">
        <w:rPr>
          <w:rStyle w:val="fontstyle01"/>
          <w:rFonts w:ascii="Calibri" w:eastAsia="Calibri" w:hAnsi="Calibri" w:cs="Calibri"/>
          <w:b/>
          <w:color w:val="000000" w:themeColor="text1"/>
          <w:sz w:val="22"/>
        </w:rPr>
        <w:t> </w:t>
      </w:r>
      <w:r w:rsidRPr="00E24A9E">
        <w:rPr>
          <w:rStyle w:val="fontstyle01"/>
          <w:rFonts w:ascii="Marianne" w:eastAsia="Calibri" w:hAnsi="Marianne"/>
          <w:b/>
          <w:color w:val="000000" w:themeColor="text1"/>
          <w:sz w:val="22"/>
        </w:rPr>
        <w:t>péréquation</w:t>
      </w:r>
      <w:r w:rsidRPr="00E24A9E">
        <w:rPr>
          <w:rStyle w:val="fontstyle01"/>
          <w:rFonts w:ascii="Calibri" w:eastAsia="Calibri" w:hAnsi="Calibri" w:cs="Calibri"/>
          <w:b/>
          <w:color w:val="000000" w:themeColor="text1"/>
          <w:sz w:val="22"/>
        </w:rPr>
        <w:t> </w:t>
      </w:r>
      <w:r w:rsidRPr="00E24A9E">
        <w:rPr>
          <w:rStyle w:val="fontstyle01"/>
          <w:rFonts w:ascii="Marianne" w:eastAsia="Calibri" w:hAnsi="Marianne" w:cs="Marianne"/>
          <w:b/>
          <w:color w:val="000000" w:themeColor="text1"/>
          <w:sz w:val="22"/>
        </w:rPr>
        <w:t>»</w:t>
      </w:r>
      <w:r w:rsidRPr="00E24A9E">
        <w:rPr>
          <w:rStyle w:val="fontstyle01"/>
          <w:rFonts w:ascii="Marianne" w:eastAsia="Calibri" w:hAnsi="Marianne"/>
          <w:b/>
          <w:color w:val="000000" w:themeColor="text1"/>
          <w:sz w:val="22"/>
        </w:rPr>
        <w:t xml:space="preserve"> de la DSR</w:t>
      </w:r>
      <w:r w:rsidRPr="00E24A9E">
        <w:rPr>
          <w:rStyle w:val="fontstyle01"/>
          <w:rFonts w:ascii="Marianne" w:eastAsia="Calibri" w:hAnsi="Marianne"/>
          <w:color w:val="000000" w:themeColor="text1"/>
          <w:sz w:val="22"/>
        </w:rPr>
        <w:t xml:space="preserve"> (article L. 2334-22 du CGCT). </w:t>
      </w:r>
    </w:p>
    <w:p w14:paraId="10F3F07E" w14:textId="1559CDB4" w:rsidR="0026026C" w:rsidRPr="00E24A9E" w:rsidRDefault="0026026C" w:rsidP="0026026C">
      <w:pPr>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Ces deux majorations s’appliquent aussi aux communes «</w:t>
      </w:r>
      <w:r w:rsidRPr="00E24A9E">
        <w:rPr>
          <w:rStyle w:val="fontstyle01"/>
          <w:rFonts w:ascii="Calibri" w:eastAsia="Calibri" w:hAnsi="Calibri" w:cs="Calibri"/>
          <w:color w:val="000000" w:themeColor="text1"/>
          <w:sz w:val="22"/>
        </w:rPr>
        <w:t> </w:t>
      </w:r>
      <w:r w:rsidRPr="00E24A9E">
        <w:rPr>
          <w:rStyle w:val="fontstyle01"/>
          <w:rFonts w:ascii="Marianne" w:eastAsia="Calibri" w:hAnsi="Marianne"/>
          <w:color w:val="000000" w:themeColor="text1"/>
          <w:sz w:val="22"/>
        </w:rPr>
        <w:t>FRR bénéficiaires</w:t>
      </w:r>
      <w:r w:rsidRPr="00E24A9E">
        <w:rPr>
          <w:rStyle w:val="fontstyle01"/>
          <w:rFonts w:ascii="Calibri" w:eastAsia="Calibri" w:hAnsi="Calibri" w:cs="Calibri"/>
          <w:color w:val="000000" w:themeColor="text1"/>
          <w:sz w:val="22"/>
        </w:rPr>
        <w:t> </w:t>
      </w:r>
      <w:r w:rsidRPr="00E24A9E">
        <w:rPr>
          <w:rStyle w:val="fontstyle01"/>
          <w:rFonts w:ascii="Marianne" w:eastAsia="Calibri" w:hAnsi="Marianne" w:cs="Marianne"/>
          <w:color w:val="000000" w:themeColor="text1"/>
          <w:sz w:val="22"/>
        </w:rPr>
        <w:t>»</w:t>
      </w:r>
      <w:r w:rsidRPr="00E24A9E">
        <w:rPr>
          <w:rStyle w:val="fontstyle01"/>
          <w:rFonts w:ascii="Marianne" w:eastAsia="Calibri" w:hAnsi="Marianne"/>
          <w:color w:val="000000" w:themeColor="text1"/>
          <w:sz w:val="22"/>
        </w:rPr>
        <w:t xml:space="preserve"> dont le territoire, ou une partie du territoire, </w:t>
      </w:r>
      <w:r w:rsidRPr="00E24A9E">
        <w:rPr>
          <w:rStyle w:val="fontstyle01"/>
          <w:rFonts w:ascii="Marianne" w:eastAsia="Calibri" w:hAnsi="Marianne"/>
          <w:b/>
          <w:color w:val="000000" w:themeColor="text1"/>
          <w:sz w:val="22"/>
        </w:rPr>
        <w:t>était situé dans l’ancien zonage ZRR</w:t>
      </w:r>
      <w:r w:rsidRPr="00E24A9E">
        <w:rPr>
          <w:rStyle w:val="fontstyle01"/>
          <w:rFonts w:ascii="Marianne" w:eastAsia="Calibri" w:hAnsi="Marianne"/>
          <w:color w:val="000000" w:themeColor="text1"/>
          <w:sz w:val="22"/>
        </w:rPr>
        <w:t xml:space="preserve">, et qui, depuis la loi de finances pour 2025, bénéficient des effets du classement en zone FRR. </w:t>
      </w:r>
    </w:p>
    <w:p w14:paraId="3486AD77" w14:textId="6F443397" w:rsidR="00017B1C" w:rsidRPr="0026026C" w:rsidRDefault="0026026C" w:rsidP="0026026C">
      <w:pPr>
        <w:jc w:val="both"/>
        <w:rPr>
          <w:rStyle w:val="fontstyle01"/>
          <w:rFonts w:ascii="Marianne" w:eastAsia="Calibri" w:hAnsi="Marianne"/>
          <w:color w:val="000000" w:themeColor="text1"/>
          <w:sz w:val="22"/>
        </w:rPr>
      </w:pPr>
      <w:r w:rsidRPr="00E24A9E">
        <w:rPr>
          <w:rStyle w:val="fontstyle01"/>
          <w:rFonts w:ascii="Marianne" w:eastAsia="Calibri" w:hAnsi="Marianne"/>
          <w:color w:val="000000" w:themeColor="text1"/>
          <w:sz w:val="22"/>
        </w:rPr>
        <w:t xml:space="preserve">Pour ces deux majorations, la situation des communes classées FRR ou bénéficiant des effets du classement en FRR, s’apprécie au 1er janvier de l’année précédant la </w:t>
      </w:r>
      <w:r w:rsidRPr="00E24A9E">
        <w:rPr>
          <w:rStyle w:val="fontstyle01"/>
          <w:rFonts w:ascii="Marianne" w:eastAsia="Calibri" w:hAnsi="Marianne"/>
          <w:color w:val="000000" w:themeColor="text1"/>
          <w:sz w:val="22"/>
        </w:rPr>
        <w:lastRenderedPageBreak/>
        <w:t>répartition. Par dérogation, en 2025, cette situation s’apprécie au 1er janvier de l’année de répartition.</w:t>
      </w:r>
      <w:r w:rsidR="00FA21F8" w:rsidRPr="00E24A9E">
        <w:rPr>
          <w:rStyle w:val="fontstyle01"/>
          <w:rFonts w:ascii="Marianne" w:eastAsia="Calibri" w:hAnsi="Marianne"/>
          <w:color w:val="000000" w:themeColor="text1"/>
          <w:sz w:val="22"/>
        </w:rPr>
        <w:t xml:space="preserve"> Ces majorations sont donc prises en compte pour la DGF 2025.</w:t>
      </w:r>
    </w:p>
    <w:p w14:paraId="479C3C0C" w14:textId="77777777" w:rsidR="001E01AF" w:rsidRPr="00DF0883" w:rsidRDefault="00AF646F" w:rsidP="00017B1C">
      <w:pPr>
        <w:pStyle w:val="Titre3"/>
        <w:ind w:left="567"/>
        <w:rPr>
          <w:i/>
          <w:color w:val="auto"/>
          <w:sz w:val="24"/>
          <w:u w:val="single"/>
        </w:rPr>
      </w:pPr>
      <w:bookmarkStart w:id="81" w:name="_Toc192849407"/>
      <w:r w:rsidRPr="00DF0883">
        <w:rPr>
          <w:i/>
          <w:color w:val="auto"/>
          <w:sz w:val="24"/>
          <w:u w:val="single"/>
        </w:rPr>
        <w:t>L’inclusion dans le zonage FRR permet de renforcer l’accès aux soins pour les habitants</w:t>
      </w:r>
      <w:bookmarkEnd w:id="81"/>
    </w:p>
    <w:p w14:paraId="4FB877D1" w14:textId="77777777" w:rsidR="001E01AF" w:rsidRDefault="001E01AF">
      <w:pPr>
        <w:spacing w:after="0" w:line="240" w:lineRule="auto"/>
        <w:jc w:val="both"/>
        <w:rPr>
          <w:rFonts w:eastAsia="Calibri"/>
          <w:color w:val="000000" w:themeColor="text1"/>
        </w:rPr>
      </w:pPr>
    </w:p>
    <w:p w14:paraId="72D9767F" w14:textId="77777777" w:rsidR="001E01AF" w:rsidRDefault="00AF646F">
      <w:pPr>
        <w:pStyle w:val="Paragraphedeliste"/>
        <w:numPr>
          <w:ilvl w:val="0"/>
          <w:numId w:val="14"/>
        </w:numPr>
        <w:spacing w:after="0" w:line="240" w:lineRule="auto"/>
        <w:jc w:val="both"/>
        <w:rPr>
          <w:rFonts w:eastAsia="Calibri"/>
          <w:color w:val="000000" w:themeColor="text1"/>
        </w:rPr>
      </w:pPr>
      <w:r>
        <w:rPr>
          <w:rFonts w:eastAsia="Calibri"/>
          <w:color w:val="000000" w:themeColor="text1"/>
        </w:rPr>
        <w:t xml:space="preserve">Création des officines de pharmacies </w:t>
      </w:r>
    </w:p>
    <w:p w14:paraId="1BA3E3B8" w14:textId="77777777" w:rsidR="001E01AF" w:rsidRDefault="00AF646F">
      <w:pPr>
        <w:spacing w:beforeAutospacing="1" w:afterAutospacing="1" w:line="240" w:lineRule="auto"/>
        <w:jc w:val="both"/>
        <w:rPr>
          <w:rFonts w:eastAsia="Times New Roman" w:cs="Times New Roman"/>
          <w:lang w:eastAsia="fr-FR"/>
        </w:rPr>
      </w:pPr>
      <w:r>
        <w:rPr>
          <w:rFonts w:eastAsia="Times New Roman" w:cs="Times New Roman"/>
          <w:lang w:eastAsia="fr-FR"/>
        </w:rPr>
        <w:t>Dans les zones France ruralités revitalisation, le directeur général de l’ARS peut autoriser l’ouverture d’une officine de pharmacie par voie de création sous réserve des conditions suivantes</w:t>
      </w:r>
      <w:r>
        <w:rPr>
          <w:rFonts w:ascii="Calibri" w:eastAsia="Times New Roman" w:hAnsi="Calibri" w:cs="Calibri"/>
          <w:lang w:eastAsia="fr-FR"/>
        </w:rPr>
        <w:t> </w:t>
      </w:r>
      <w:r>
        <w:rPr>
          <w:rFonts w:cs="Calibri"/>
          <w:color w:val="000000" w:themeColor="text1"/>
        </w:rPr>
        <w:t>(</w:t>
      </w:r>
      <w:r>
        <w:rPr>
          <w:rStyle w:val="markedcontent"/>
          <w:rFonts w:eastAsia="Calibri"/>
          <w:color w:val="000000" w:themeColor="text1"/>
        </w:rPr>
        <w:t>article L. 5125-3 du code de la santé publique)</w:t>
      </w:r>
      <w:r>
        <w:rPr>
          <w:rStyle w:val="markedcontent"/>
          <w:rFonts w:eastAsia="Calibri"/>
          <w:i/>
          <w:color w:val="000000" w:themeColor="text1"/>
        </w:rPr>
        <w:t xml:space="preserve"> </w:t>
      </w:r>
      <w:r>
        <w:rPr>
          <w:rFonts w:eastAsia="Times New Roman" w:cs="Times New Roman"/>
          <w:lang w:eastAsia="fr-FR"/>
        </w:rPr>
        <w:t>:</w:t>
      </w:r>
    </w:p>
    <w:p w14:paraId="7963CDCD" w14:textId="77777777" w:rsidR="001E01AF" w:rsidRDefault="00AF646F">
      <w:pPr>
        <w:numPr>
          <w:ilvl w:val="0"/>
          <w:numId w:val="13"/>
        </w:numPr>
        <w:spacing w:beforeAutospacing="1" w:after="0" w:line="240" w:lineRule="auto"/>
        <w:jc w:val="both"/>
        <w:rPr>
          <w:rFonts w:eastAsia="Times New Roman" w:cs="Times New Roman"/>
          <w:lang w:eastAsia="fr-FR"/>
        </w:rPr>
      </w:pPr>
      <w:r>
        <w:rPr>
          <w:rFonts w:eastAsia="Times New Roman" w:cs="Times New Roman"/>
          <w:lang w:eastAsia="fr-FR"/>
        </w:rPr>
        <w:t>Population de la commune supérieure à 2</w:t>
      </w:r>
      <w:r>
        <w:rPr>
          <w:rFonts w:ascii="Calibri" w:eastAsia="Times New Roman" w:hAnsi="Calibri" w:cs="Calibri"/>
          <w:lang w:eastAsia="fr-FR"/>
        </w:rPr>
        <w:t> </w:t>
      </w:r>
      <w:r>
        <w:rPr>
          <w:rFonts w:eastAsia="Times New Roman" w:cs="Times New Roman"/>
          <w:lang w:eastAsia="fr-FR"/>
        </w:rPr>
        <w:t>500 habitants depuis deux ans</w:t>
      </w:r>
      <w:r>
        <w:rPr>
          <w:rFonts w:ascii="Calibri" w:eastAsia="Times New Roman" w:hAnsi="Calibri" w:cs="Calibri"/>
          <w:lang w:eastAsia="fr-FR"/>
        </w:rPr>
        <w:t> </w:t>
      </w:r>
      <w:r>
        <w:rPr>
          <w:rFonts w:eastAsia="Times New Roman" w:cs="Times New Roman"/>
          <w:lang w:eastAsia="fr-FR"/>
        </w:rPr>
        <w:t>;</w:t>
      </w:r>
    </w:p>
    <w:p w14:paraId="669ABC5A" w14:textId="6FC98C94" w:rsidR="001E01AF" w:rsidRPr="00FA0E86" w:rsidRDefault="00AF646F" w:rsidP="00FA0E86">
      <w:pPr>
        <w:numPr>
          <w:ilvl w:val="0"/>
          <w:numId w:val="13"/>
        </w:numPr>
        <w:spacing w:after="0" w:line="240" w:lineRule="auto"/>
        <w:jc w:val="both"/>
        <w:rPr>
          <w:rStyle w:val="markedcontent"/>
          <w:rFonts w:eastAsia="Times New Roman" w:cs="Times New Roman"/>
          <w:lang w:eastAsia="fr-FR"/>
        </w:rPr>
      </w:pPr>
      <w:r>
        <w:rPr>
          <w:rFonts w:eastAsia="Times New Roman" w:cs="Times New Roman"/>
          <w:lang w:eastAsia="fr-FR"/>
        </w:rPr>
        <w:t>Aucune autre autorisation d’ouverture par voie de transfert ou regroupement depuis deux ans.</w:t>
      </w:r>
    </w:p>
    <w:p w14:paraId="5938AA8D" w14:textId="77777777" w:rsidR="001E01AF" w:rsidRDefault="001E01AF">
      <w:pPr>
        <w:spacing w:after="0" w:line="240" w:lineRule="auto"/>
        <w:jc w:val="both"/>
        <w:rPr>
          <w:rStyle w:val="markedcontent"/>
          <w:color w:val="000000" w:themeColor="text1"/>
        </w:rPr>
      </w:pPr>
    </w:p>
    <w:p w14:paraId="6DF3C59A" w14:textId="77777777" w:rsidR="001E01AF" w:rsidRPr="00DF0883" w:rsidRDefault="00AF646F" w:rsidP="00FA0E86">
      <w:pPr>
        <w:pStyle w:val="Titre3"/>
        <w:ind w:left="567"/>
        <w:rPr>
          <w:i/>
          <w:color w:val="auto"/>
          <w:sz w:val="24"/>
          <w:u w:val="single"/>
        </w:rPr>
      </w:pPr>
      <w:bookmarkStart w:id="82" w:name="_Toc192849408"/>
      <w:r w:rsidRPr="00DF0883">
        <w:rPr>
          <w:i/>
          <w:color w:val="auto"/>
          <w:sz w:val="24"/>
          <w:u w:val="single"/>
        </w:rPr>
        <w:t>L’inclusion dans le zonage FRR améliore l’accès aux services publics et favorise le développement territorial</w:t>
      </w:r>
      <w:bookmarkEnd w:id="82"/>
      <w:r w:rsidRPr="00DF0883">
        <w:rPr>
          <w:i/>
          <w:color w:val="auto"/>
          <w:sz w:val="24"/>
          <w:u w:val="single"/>
        </w:rPr>
        <w:t xml:space="preserve"> </w:t>
      </w:r>
    </w:p>
    <w:p w14:paraId="3BF091BE" w14:textId="77777777" w:rsidR="001E01AF" w:rsidRDefault="001E01AF">
      <w:pPr>
        <w:spacing w:after="0" w:line="240" w:lineRule="auto"/>
        <w:jc w:val="both"/>
        <w:rPr>
          <w:rFonts w:eastAsia="Calibri"/>
          <w:b/>
          <w:color w:val="000000" w:themeColor="text1"/>
          <w:u w:val="single"/>
        </w:rPr>
      </w:pPr>
    </w:p>
    <w:p w14:paraId="73D02406" w14:textId="77777777" w:rsidR="001E01AF" w:rsidRDefault="00AF646F">
      <w:pPr>
        <w:pStyle w:val="Paragraphedeliste"/>
        <w:numPr>
          <w:ilvl w:val="0"/>
          <w:numId w:val="8"/>
        </w:numPr>
        <w:spacing w:after="0" w:line="240" w:lineRule="auto"/>
        <w:jc w:val="both"/>
      </w:pPr>
      <w:r>
        <w:rPr>
          <w:b/>
        </w:rPr>
        <w:t>L’Agence nationale de la cohésion des territoires (ANCT)</w:t>
      </w:r>
      <w:r>
        <w:t xml:space="preserve"> a pour mission de favoriser, en FRR, l’aménagement et la restructuration des espaces commerciaux et artisanaux, ainsi que les espaces de services (</w:t>
      </w:r>
      <w:r>
        <w:rPr>
          <w:i/>
        </w:rPr>
        <w:t>article L. 1231-2 du CGCT</w:t>
      </w:r>
      <w:r>
        <w:t>).</w:t>
      </w:r>
    </w:p>
    <w:p w14:paraId="130300D4" w14:textId="77777777" w:rsidR="001E01AF" w:rsidRDefault="001E01AF">
      <w:pPr>
        <w:spacing w:after="0" w:line="240" w:lineRule="auto"/>
      </w:pPr>
    </w:p>
    <w:p w14:paraId="75438839" w14:textId="77777777" w:rsidR="001E01AF" w:rsidRDefault="00AF646F">
      <w:pPr>
        <w:pStyle w:val="Paragraphedeliste"/>
        <w:numPr>
          <w:ilvl w:val="0"/>
          <w:numId w:val="8"/>
        </w:numPr>
        <w:spacing w:after="0" w:line="240" w:lineRule="auto"/>
        <w:jc w:val="both"/>
        <w:rPr>
          <w:b/>
        </w:rPr>
      </w:pPr>
      <w:r>
        <w:rPr>
          <w:b/>
        </w:rPr>
        <w:t>Révision de la carte des formations du second degré</w:t>
      </w:r>
      <w:r>
        <w:rPr>
          <w:rFonts w:ascii="Calibri" w:hAnsi="Calibri" w:cs="Calibri"/>
          <w:b/>
        </w:rPr>
        <w:t> </w:t>
      </w:r>
      <w:r>
        <w:rPr>
          <w:b/>
        </w:rPr>
        <w:t xml:space="preserve">: </w:t>
      </w:r>
    </w:p>
    <w:p w14:paraId="3ACDF04A" w14:textId="77777777" w:rsidR="001E01AF" w:rsidRDefault="00AF646F">
      <w:pPr>
        <w:spacing w:after="0" w:line="240" w:lineRule="auto"/>
        <w:ind w:left="720"/>
        <w:jc w:val="both"/>
        <w:rPr>
          <w:rFonts w:eastAsia="Calibri"/>
          <w:color w:val="000000" w:themeColor="text1"/>
        </w:rPr>
      </w:pPr>
      <w:r>
        <w:t>En référence à l’article L211-2 du code de l’éducation, «</w:t>
      </w:r>
      <w:r>
        <w:rPr>
          <w:rFonts w:ascii="Calibri" w:hAnsi="Calibri" w:cs="Calibri"/>
        </w:rPr>
        <w:t> </w:t>
      </w:r>
      <w:r>
        <w:t>dans les zones France ruralités revitalisation, les services compétents de l'Etat engagent, avant toute révision de la carte des formations du second degré, une concertation, au sein du conseil académique</w:t>
      </w:r>
      <w:r>
        <w:rPr>
          <w:rFonts w:cs="Arial"/>
          <w:shd w:val="clear" w:color="auto" w:fill="FFFFFF"/>
        </w:rPr>
        <w:t xml:space="preserve"> de l'éducation nationale ou, pour les formations assurées en collège, au sein du conseil départemental de l'éducation nationale, avec les élus et les représentants des collectivités territoriales, des professeurs, des parents d'élèves et des secteurs économiques locaux concernés par cette révision. </w:t>
      </w:r>
      <w:r>
        <w:t>»</w:t>
      </w:r>
    </w:p>
    <w:p w14:paraId="09880AD9" w14:textId="77777777" w:rsidR="001E01AF" w:rsidRDefault="001E01AF">
      <w:pPr>
        <w:spacing w:after="0" w:line="240" w:lineRule="auto"/>
        <w:jc w:val="both"/>
        <w:rPr>
          <w:rFonts w:eastAsia="Calibri"/>
          <w:color w:val="000000" w:themeColor="text1"/>
        </w:rPr>
      </w:pPr>
    </w:p>
    <w:p w14:paraId="4314D0A4" w14:textId="77777777" w:rsidR="001E01AF" w:rsidRDefault="00AF646F">
      <w:pPr>
        <w:pStyle w:val="Paragraphedeliste"/>
        <w:numPr>
          <w:ilvl w:val="0"/>
          <w:numId w:val="8"/>
        </w:numPr>
        <w:spacing w:after="0" w:line="240" w:lineRule="auto"/>
        <w:jc w:val="both"/>
        <w:rPr>
          <w:rFonts w:eastAsia="Calibri"/>
          <w:color w:val="000000" w:themeColor="text1"/>
        </w:rPr>
      </w:pPr>
      <w:r>
        <w:rPr>
          <w:b/>
        </w:rPr>
        <w:t>L’accès au service public postal</w:t>
      </w:r>
      <w:r>
        <w:rPr>
          <w:rFonts w:ascii="Calibri" w:hAnsi="Calibri" w:cs="Calibri"/>
          <w:b/>
        </w:rPr>
        <w:t> </w:t>
      </w:r>
      <w:r>
        <w:rPr>
          <w:b/>
        </w:rPr>
        <w:t>:</w:t>
      </w:r>
      <w:r>
        <w:t xml:space="preserve"> </w:t>
      </w:r>
    </w:p>
    <w:p w14:paraId="10950B0F" w14:textId="77777777" w:rsidR="001E01AF" w:rsidRDefault="001E01AF">
      <w:pPr>
        <w:pStyle w:val="Paragraphedeliste"/>
        <w:spacing w:after="0" w:line="240" w:lineRule="auto"/>
        <w:jc w:val="both"/>
        <w:rPr>
          <w:rFonts w:eastAsia="Calibri"/>
          <w:color w:val="000000" w:themeColor="text1"/>
        </w:rPr>
      </w:pPr>
    </w:p>
    <w:p w14:paraId="40D5EC02" w14:textId="77777777" w:rsidR="001E01AF" w:rsidRDefault="00AF646F">
      <w:pPr>
        <w:spacing w:after="0" w:line="240" w:lineRule="auto"/>
        <w:ind w:left="709" w:firstLine="11"/>
        <w:jc w:val="both"/>
        <w:rPr>
          <w:rFonts w:eastAsia="Calibri"/>
          <w:color w:val="000000" w:themeColor="text1"/>
        </w:rPr>
      </w:pPr>
      <w:r>
        <w:rPr>
          <w:rFonts w:eastAsia="Calibri"/>
          <w:color w:val="000000" w:themeColor="text1"/>
        </w:rPr>
        <w:t xml:space="preserve">Les </w:t>
      </w:r>
      <w:r>
        <w:rPr>
          <w:rFonts w:eastAsia="Calibri"/>
          <w:b/>
          <w:color w:val="000000" w:themeColor="text1"/>
        </w:rPr>
        <w:t>règles d’accessibilité au réseau de points de contact de La Poste</w:t>
      </w:r>
      <w:r>
        <w:rPr>
          <w:rFonts w:eastAsia="Calibri"/>
          <w:color w:val="000000" w:themeColor="text1"/>
        </w:rPr>
        <w:t>, au titre de sa contribution à l’aménagement et au développement du territoire, déterminées au niveau départemental, prendront en compte le classement des collectivités en zone FRR (article 6 de la loi n°90-568 du 2 juillet 1990 relative à l’organisation du service public de la Poste et à France Télécom).</w:t>
      </w:r>
    </w:p>
    <w:p w14:paraId="69CBCCFC" w14:textId="6FFE1E47" w:rsidR="001E01AF" w:rsidRDefault="001E01AF">
      <w:pPr>
        <w:pStyle w:val="Paragraphedeliste"/>
      </w:pPr>
    </w:p>
    <w:p w14:paraId="02DC7086" w14:textId="77777777" w:rsidR="00E57BF8" w:rsidRDefault="00E57BF8">
      <w:pPr>
        <w:pStyle w:val="Paragraphedeliste"/>
      </w:pPr>
    </w:p>
    <w:p w14:paraId="4A83CB98" w14:textId="266BB0E1" w:rsidR="001E01AF" w:rsidRDefault="00AF646F">
      <w:pPr>
        <w:pStyle w:val="Paragraphedeliste"/>
        <w:spacing w:after="0" w:line="240" w:lineRule="auto"/>
        <w:jc w:val="both"/>
        <w:rPr>
          <w:b/>
        </w:rPr>
      </w:pPr>
      <w:r>
        <w:lastRenderedPageBreak/>
        <w:t xml:space="preserve">La </w:t>
      </w:r>
      <w:r>
        <w:rPr>
          <w:b/>
        </w:rPr>
        <w:t>commission départementale de présence postale territoriale (CDPPT)</w:t>
      </w:r>
      <w:r>
        <w:t xml:space="preserve"> prendra en compte les zones FRR dans sa proposition de répartition de la dotation du fonds postal natio</w:t>
      </w:r>
      <w:r w:rsidR="00B20774">
        <w:t xml:space="preserve">nal de péréquation territoriale </w:t>
      </w:r>
      <w:r>
        <w:rPr>
          <w:i/>
        </w:rPr>
        <w:t>(article 38 de la loi n°90-568 du 2 juillet 1990 relative à l’organisation du service public de la Poste et à France Télécom)</w:t>
      </w:r>
      <w:r>
        <w:rPr>
          <w:b/>
        </w:rPr>
        <w:t>.</w:t>
      </w:r>
    </w:p>
    <w:p w14:paraId="3D265D36" w14:textId="77777777" w:rsidR="001E01AF" w:rsidRDefault="001E01AF">
      <w:pPr>
        <w:spacing w:after="0" w:line="240" w:lineRule="auto"/>
        <w:jc w:val="both"/>
        <w:rPr>
          <w:rFonts w:eastAsia="Calibri"/>
          <w:color w:val="000000" w:themeColor="text1"/>
        </w:rPr>
      </w:pPr>
    </w:p>
    <w:p w14:paraId="03D2B60A" w14:textId="77777777" w:rsidR="001E01AF" w:rsidRDefault="00AF646F">
      <w:pPr>
        <w:pStyle w:val="Paragraphedeliste"/>
        <w:numPr>
          <w:ilvl w:val="0"/>
          <w:numId w:val="9"/>
        </w:numPr>
        <w:spacing w:after="0" w:line="240" w:lineRule="auto"/>
        <w:jc w:val="both"/>
        <w:rPr>
          <w:rFonts w:eastAsia="Calibri"/>
          <w:color w:val="000000" w:themeColor="text1"/>
        </w:rPr>
      </w:pPr>
      <w:r>
        <w:rPr>
          <w:rFonts w:eastAsia="Calibri"/>
          <w:b/>
          <w:color w:val="000000" w:themeColor="text1"/>
        </w:rPr>
        <w:t>L’Etat compense, à hauteur de 50%, la perte de recettes</w:t>
      </w:r>
      <w:r>
        <w:rPr>
          <w:rFonts w:eastAsia="Calibri"/>
          <w:color w:val="000000" w:themeColor="text1"/>
        </w:rPr>
        <w:t xml:space="preserve"> résultant, pour les départements, de l'abattement de taxe de publicité foncière ou du droit d'enregistrement pour les acquisitions de biens situés en FRR </w:t>
      </w:r>
      <w:r>
        <w:rPr>
          <w:rFonts w:eastAsia="Calibri"/>
          <w:i/>
          <w:color w:val="000000" w:themeColor="text1"/>
        </w:rPr>
        <w:t>(article 50 de la loi n°95-115 du 4 février 1995 d’orientation pour l’aménagement et le développement du territoire).</w:t>
      </w:r>
    </w:p>
    <w:p w14:paraId="6601EC30" w14:textId="636C9C0A" w:rsidR="001E01AF" w:rsidRPr="00EB2405" w:rsidRDefault="001E01AF" w:rsidP="00EB2405">
      <w:pPr>
        <w:spacing w:after="0" w:line="240" w:lineRule="auto"/>
        <w:jc w:val="both"/>
        <w:rPr>
          <w:rFonts w:eastAsia="Calibri"/>
          <w:color w:val="000000" w:themeColor="text1"/>
        </w:rPr>
      </w:pPr>
    </w:p>
    <w:p w14:paraId="72CECBEB" w14:textId="77777777" w:rsidR="001E01AF" w:rsidRPr="00DF0883" w:rsidRDefault="00AF646F" w:rsidP="00EB2405">
      <w:pPr>
        <w:pStyle w:val="Titre3"/>
        <w:ind w:left="567"/>
        <w:rPr>
          <w:i/>
          <w:color w:val="auto"/>
          <w:sz w:val="24"/>
          <w:u w:val="single"/>
        </w:rPr>
      </w:pPr>
      <w:bookmarkStart w:id="83" w:name="_Toc192849409"/>
      <w:r w:rsidRPr="00DF0883">
        <w:rPr>
          <w:i/>
          <w:color w:val="auto"/>
          <w:sz w:val="24"/>
          <w:u w:val="single"/>
        </w:rPr>
        <w:t>L’inclusion dans le zonage FRR soutient les actions en faveur du logement</w:t>
      </w:r>
      <w:bookmarkEnd w:id="83"/>
    </w:p>
    <w:p w14:paraId="0271F873" w14:textId="77777777" w:rsidR="001E01AF" w:rsidRDefault="001E01AF">
      <w:pPr>
        <w:spacing w:after="0" w:line="240" w:lineRule="auto"/>
        <w:jc w:val="both"/>
        <w:rPr>
          <w:rFonts w:eastAsia="Calibri"/>
          <w:color w:val="000000" w:themeColor="text1"/>
        </w:rPr>
      </w:pPr>
    </w:p>
    <w:p w14:paraId="695513D7" w14:textId="77777777" w:rsidR="001E01AF" w:rsidRDefault="00AF646F">
      <w:pPr>
        <w:pStyle w:val="Paragraphedeliste"/>
        <w:numPr>
          <w:ilvl w:val="0"/>
          <w:numId w:val="15"/>
        </w:numPr>
        <w:jc w:val="both"/>
        <w:rPr>
          <w:rStyle w:val="markedcontent"/>
          <w:rFonts w:eastAsia="Calibri"/>
          <w:color w:val="000000" w:themeColor="text1"/>
        </w:rPr>
      </w:pPr>
      <w:r>
        <w:rPr>
          <w:b/>
          <w:color w:val="000000" w:themeColor="text1"/>
        </w:rPr>
        <w:t>Le supplément de loyer de solidarité (SLS)</w:t>
      </w:r>
      <w:r>
        <w:rPr>
          <w:color w:val="000000" w:themeColor="text1"/>
        </w:rPr>
        <w:t xml:space="preserve"> ou «</w:t>
      </w:r>
      <w:r>
        <w:rPr>
          <w:rFonts w:ascii="Calibri" w:hAnsi="Calibri" w:cs="Calibri"/>
          <w:color w:val="000000" w:themeColor="text1"/>
        </w:rPr>
        <w:t> </w:t>
      </w:r>
      <w:r>
        <w:rPr>
          <w:rStyle w:val="Accentuation"/>
          <w:color w:val="000000" w:themeColor="text1"/>
        </w:rPr>
        <w:t>surloye</w:t>
      </w:r>
      <w:r>
        <w:rPr>
          <w:rStyle w:val="Accentuation"/>
          <w:rFonts w:cs="Calibri"/>
          <w:color w:val="000000" w:themeColor="text1"/>
        </w:rPr>
        <w:t>r</w:t>
      </w:r>
      <w:r>
        <w:rPr>
          <w:rStyle w:val="Accentuation"/>
          <w:rFonts w:ascii="Calibri" w:hAnsi="Calibri" w:cs="Calibri"/>
          <w:color w:val="000000" w:themeColor="text1"/>
        </w:rPr>
        <w:t> </w:t>
      </w:r>
      <w:r>
        <w:rPr>
          <w:rStyle w:val="Accentuation"/>
          <w:rFonts w:cs="Marianne"/>
          <w:color w:val="000000" w:themeColor="text1"/>
        </w:rPr>
        <w:t>»</w:t>
      </w:r>
      <w:r>
        <w:rPr>
          <w:rStyle w:val="Accentuation"/>
          <w:rFonts w:cs="Calibri"/>
          <w:color w:val="000000" w:themeColor="text1"/>
        </w:rPr>
        <w:t xml:space="preserve">, </w:t>
      </w:r>
      <w:r>
        <w:rPr>
          <w:color w:val="000000" w:themeColor="text1"/>
        </w:rPr>
        <w:t xml:space="preserve">pouvant être réclamé au locataire d’un logement social ne s’applique pas aux </w:t>
      </w:r>
      <w:r>
        <w:rPr>
          <w:rStyle w:val="markedcontent"/>
          <w:rFonts w:eastAsia="Calibri"/>
          <w:color w:val="000000" w:themeColor="text1"/>
        </w:rPr>
        <w:t>logements des communes situées en France ruralités revitalisation (</w:t>
      </w:r>
      <w:r>
        <w:rPr>
          <w:rStyle w:val="markedcontent"/>
          <w:rFonts w:eastAsia="Calibri"/>
          <w:i/>
          <w:color w:val="000000" w:themeColor="text1"/>
        </w:rPr>
        <w:t>article L. 441-3 du code de la construction et de</w:t>
      </w:r>
      <w:r>
        <w:rPr>
          <w:rFonts w:eastAsia="Calibri"/>
          <w:i/>
          <w:color w:val="000000" w:themeColor="text1"/>
        </w:rPr>
        <w:t xml:space="preserve"> </w:t>
      </w:r>
      <w:r>
        <w:rPr>
          <w:rStyle w:val="markedcontent"/>
          <w:rFonts w:eastAsia="Calibri"/>
          <w:i/>
          <w:color w:val="000000" w:themeColor="text1"/>
        </w:rPr>
        <w:t>l’habitation</w:t>
      </w:r>
      <w:r>
        <w:rPr>
          <w:rStyle w:val="markedcontent"/>
          <w:rFonts w:eastAsia="Calibri"/>
          <w:color w:val="000000" w:themeColor="text1"/>
          <w:sz w:val="20"/>
        </w:rPr>
        <w:t>).</w:t>
      </w:r>
    </w:p>
    <w:p w14:paraId="7FE7048F" w14:textId="77777777" w:rsidR="001E01AF" w:rsidRDefault="00AF646F">
      <w:pPr>
        <w:spacing w:after="0" w:line="240" w:lineRule="auto"/>
        <w:jc w:val="both"/>
        <w:rPr>
          <w:rFonts w:eastAsia="Calibri"/>
          <w:color w:val="000000" w:themeColor="text1"/>
        </w:rPr>
      </w:pPr>
      <w:r>
        <w:rPr>
          <w:rFonts w:eastAsia="Calibri"/>
          <w:color w:val="000000" w:themeColor="text1"/>
        </w:rPr>
        <w:t>Si une commune bénéficiait déjà du zonage ZRR et bénéficie dorénavant du zonage FRR, l’exemption de SLS dont elle bénéficiait est maintenue.</w:t>
      </w:r>
    </w:p>
    <w:p w14:paraId="5CA6D08B" w14:textId="77777777" w:rsidR="001E01AF" w:rsidRDefault="001E01AF">
      <w:pPr>
        <w:spacing w:after="0" w:line="240" w:lineRule="auto"/>
        <w:jc w:val="both"/>
        <w:rPr>
          <w:rFonts w:eastAsia="Calibri"/>
          <w:color w:val="000000" w:themeColor="text1"/>
        </w:rPr>
      </w:pPr>
    </w:p>
    <w:p w14:paraId="069B423C" w14:textId="77777777" w:rsidR="001E01AF" w:rsidRDefault="00AF646F">
      <w:pPr>
        <w:spacing w:after="0" w:line="240" w:lineRule="auto"/>
        <w:jc w:val="both"/>
        <w:rPr>
          <w:rFonts w:eastAsia="Calibri"/>
          <w:color w:val="000000" w:themeColor="text1"/>
        </w:rPr>
      </w:pPr>
      <w:r>
        <w:rPr>
          <w:rFonts w:eastAsia="Calibri"/>
          <w:color w:val="000000" w:themeColor="text1"/>
        </w:rPr>
        <w:t>Si une commune ne bénéficiait pas du zonage ZRR et bénéficie dorénavant du zonage FRR, l’exemption de SLS lui est appliquée à compter du 1</w:t>
      </w:r>
      <w:r>
        <w:rPr>
          <w:rFonts w:eastAsia="Calibri"/>
          <w:color w:val="000000" w:themeColor="text1"/>
          <w:vertAlign w:val="superscript"/>
        </w:rPr>
        <w:t>er</w:t>
      </w:r>
      <w:r>
        <w:rPr>
          <w:rFonts w:eastAsia="Calibri"/>
          <w:color w:val="000000" w:themeColor="text1"/>
        </w:rPr>
        <w:t xml:space="preserve"> juillet 2024.</w:t>
      </w:r>
    </w:p>
    <w:p w14:paraId="0D48B431" w14:textId="77777777" w:rsidR="001E01AF" w:rsidRDefault="001E01AF">
      <w:pPr>
        <w:spacing w:after="0" w:line="240" w:lineRule="auto"/>
        <w:jc w:val="both"/>
        <w:rPr>
          <w:rFonts w:eastAsia="Calibri"/>
          <w:i/>
          <w:color w:val="000000" w:themeColor="text1"/>
        </w:rPr>
      </w:pPr>
    </w:p>
    <w:p w14:paraId="39357EB6" w14:textId="77777777" w:rsidR="001E01AF" w:rsidRDefault="00AF646F">
      <w:pPr>
        <w:pStyle w:val="Paragraphedeliste"/>
        <w:numPr>
          <w:ilvl w:val="0"/>
          <w:numId w:val="13"/>
        </w:numPr>
        <w:spacing w:after="0" w:line="240" w:lineRule="auto"/>
        <w:jc w:val="both"/>
        <w:rPr>
          <w:color w:val="000000" w:themeColor="text1"/>
        </w:rPr>
      </w:pPr>
      <w:r>
        <w:rPr>
          <w:b/>
          <w:color w:val="000000" w:themeColor="text1"/>
        </w:rPr>
        <w:t>Les concours financiers de l'Etat pour la réhabilitation de l'habitat ancien</w:t>
      </w:r>
      <w:r>
        <w:t xml:space="preserve"> </w:t>
      </w:r>
      <w:r>
        <w:rPr>
          <w:color w:val="000000" w:themeColor="text1"/>
        </w:rPr>
        <w:t xml:space="preserve">sont attribués par priorité aux communes situées en FRR, ayant fait l'acquisition de biens immobiliers anciens situés sur leur territoire, en vue de les transformer en logements sociaux à usage locatif </w:t>
      </w:r>
      <w:r w:rsidRPr="00D87690">
        <w:rPr>
          <w:i/>
          <w:color w:val="000000" w:themeColor="text1"/>
          <w:szCs w:val="20"/>
        </w:rPr>
        <w:t>(</w:t>
      </w:r>
      <w:r w:rsidRPr="00D87690">
        <w:rPr>
          <w:rStyle w:val="fontstyle01"/>
          <w:rFonts w:ascii="Marianne" w:eastAsia="Calibri" w:hAnsi="Marianne"/>
          <w:i/>
          <w:color w:val="000000" w:themeColor="text1"/>
          <w:sz w:val="22"/>
        </w:rPr>
        <w:t>article 62 de la loi n°95-115 du 4 février 1995 d’orientation pour l’aménagement et le développement du territoire</w:t>
      </w:r>
      <w:r w:rsidRPr="00D87690">
        <w:rPr>
          <w:rStyle w:val="fontstyle01"/>
          <w:rFonts w:ascii="Marianne" w:eastAsia="Calibri" w:hAnsi="Marianne"/>
          <w:color w:val="000000" w:themeColor="text1"/>
        </w:rPr>
        <w:t>).</w:t>
      </w:r>
    </w:p>
    <w:sectPr w:rsidR="001E01AF">
      <w:headerReference w:type="default" r:id="rId11"/>
      <w:footerReference w:type="default" r:id="rId12"/>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F3BD" w14:textId="77777777" w:rsidR="00D964A6" w:rsidRDefault="00D964A6">
      <w:pPr>
        <w:spacing w:after="0" w:line="240" w:lineRule="auto"/>
      </w:pPr>
      <w:r>
        <w:separator/>
      </w:r>
    </w:p>
  </w:endnote>
  <w:endnote w:type="continuationSeparator" w:id="0">
    <w:p w14:paraId="3111A8F2" w14:textId="77777777" w:rsidR="00D964A6" w:rsidRDefault="00D9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Bold">
    <w:panose1 w:val="02000000000000000000"/>
    <w:charset w:val="00"/>
    <w:family w:val="roman"/>
    <w:notTrueType/>
    <w:pitch w:val="default"/>
  </w:font>
  <w:font w:name="Marianne-RegularItalic">
    <w:altName w:val="MV Boli"/>
    <w:panose1 w:val="02000000000000000000"/>
    <w:charset w:val="00"/>
    <w:family w:val="auto"/>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4544" w14:textId="10B62878" w:rsidR="00D964A6" w:rsidRDefault="00D964A6">
    <w:pPr>
      <w:pStyle w:val="Pieddepage"/>
      <w:jc w:val="center"/>
      <w:rPr>
        <w:caps/>
        <w:sz w:val="20"/>
      </w:rPr>
    </w:pPr>
    <w:r>
      <w:rPr>
        <w:caps/>
        <w:sz w:val="20"/>
      </w:rPr>
      <w:fldChar w:fldCharType="begin"/>
    </w:r>
    <w:r>
      <w:rPr>
        <w:caps/>
        <w:sz w:val="20"/>
      </w:rPr>
      <w:instrText>PAGE</w:instrText>
    </w:r>
    <w:r>
      <w:rPr>
        <w:caps/>
        <w:sz w:val="20"/>
      </w:rPr>
      <w:fldChar w:fldCharType="separate"/>
    </w:r>
    <w:r w:rsidR="00AE1A41">
      <w:rPr>
        <w:caps/>
        <w:noProof/>
        <w:sz w:val="20"/>
      </w:rPr>
      <w:t>3</w:t>
    </w:r>
    <w:r>
      <w:rPr>
        <w:caps/>
        <w:sz w:val="20"/>
      </w:rPr>
      <w:fldChar w:fldCharType="end"/>
    </w:r>
  </w:p>
  <w:p w14:paraId="03E20631" w14:textId="77777777" w:rsidR="00D964A6" w:rsidRDefault="00D964A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8DDF" w14:textId="77777777" w:rsidR="00D964A6" w:rsidRDefault="00D964A6">
      <w:pPr>
        <w:rPr>
          <w:sz w:val="12"/>
        </w:rPr>
      </w:pPr>
      <w:r>
        <w:separator/>
      </w:r>
    </w:p>
  </w:footnote>
  <w:footnote w:type="continuationSeparator" w:id="0">
    <w:p w14:paraId="0E973FE2" w14:textId="77777777" w:rsidR="00D964A6" w:rsidRDefault="00D964A6">
      <w:pPr>
        <w:rPr>
          <w:sz w:val="12"/>
        </w:rPr>
      </w:pPr>
      <w:r>
        <w:continuationSeparator/>
      </w:r>
    </w:p>
  </w:footnote>
  <w:footnote w:id="1">
    <w:p w14:paraId="6A08D1B9" w14:textId="77777777" w:rsidR="00D964A6" w:rsidRDefault="00D964A6">
      <w:pPr>
        <w:pStyle w:val="Notedebasdepage"/>
        <w:rPr>
          <w:rFonts w:ascii="Marianne" w:hAnsi="Marianne"/>
        </w:rPr>
      </w:pPr>
      <w:r>
        <w:rPr>
          <w:rStyle w:val="Caractresdenotedebasdepage"/>
        </w:rPr>
        <w:footnoteRef/>
      </w:r>
      <w:r>
        <w:rPr>
          <w:rFonts w:ascii="Marianne" w:hAnsi="Marianne"/>
          <w:sz w:val="18"/>
        </w:rPr>
        <w:t xml:space="preserve"> </w:t>
      </w:r>
      <w:hyperlink r:id="rId1">
        <w:r>
          <w:rPr>
            <w:rStyle w:val="LienInternet"/>
            <w:rFonts w:ascii="Marianne" w:hAnsi="Marianne"/>
            <w:sz w:val="18"/>
          </w:rPr>
          <w:t>https://www.collectivites-locales.gouv.fr/cohesion-territoriale/france-ruralites-revitalisation</w:t>
        </w:r>
      </w:hyperlink>
    </w:p>
  </w:footnote>
  <w:footnote w:id="2">
    <w:p w14:paraId="6F628A75" w14:textId="3DB80471" w:rsidR="00D964A6" w:rsidRDefault="00D964A6">
      <w:pPr>
        <w:pStyle w:val="Notedebasdepage"/>
        <w:jc w:val="both"/>
        <w:rPr>
          <w:rFonts w:ascii="Marianne" w:hAnsi="Marianne"/>
        </w:rPr>
      </w:pPr>
      <w:r>
        <w:rPr>
          <w:rStyle w:val="Caractresdenotedebasdepage"/>
        </w:rPr>
        <w:footnoteRef/>
      </w:r>
      <w:r>
        <w:rPr>
          <w:rFonts w:ascii="Marianne" w:hAnsi="Marianne"/>
        </w:rPr>
        <w:t xml:space="preserve"> </w:t>
      </w:r>
      <w:r>
        <w:rPr>
          <w:rFonts w:ascii="Marianne" w:hAnsi="Marianne"/>
          <w:sz w:val="18"/>
        </w:rPr>
        <w:t>Les critères de classement en FRR</w:t>
      </w:r>
      <w:r w:rsidR="00910A98">
        <w:rPr>
          <w:rFonts w:ascii="Marianne" w:hAnsi="Marianne"/>
          <w:sz w:val="18"/>
        </w:rPr>
        <w:t xml:space="preserve"> «</w:t>
      </w:r>
      <w:r w:rsidR="00910A98">
        <w:rPr>
          <w:rFonts w:ascii="Calibri" w:hAnsi="Calibri" w:cs="Calibri"/>
          <w:sz w:val="18"/>
        </w:rPr>
        <w:t> </w:t>
      </w:r>
      <w:r w:rsidR="00910A98">
        <w:rPr>
          <w:rFonts w:ascii="Marianne" w:hAnsi="Marianne"/>
          <w:sz w:val="18"/>
        </w:rPr>
        <w:t>socle</w:t>
      </w:r>
      <w:r w:rsidR="00910A98">
        <w:rPr>
          <w:rFonts w:ascii="Calibri" w:hAnsi="Calibri" w:cs="Calibri"/>
          <w:sz w:val="18"/>
        </w:rPr>
        <w:t> </w:t>
      </w:r>
      <w:r w:rsidR="00910A98">
        <w:rPr>
          <w:rFonts w:ascii="Marianne" w:hAnsi="Marianne" w:cs="Marianne"/>
          <w:sz w:val="18"/>
        </w:rPr>
        <w:t>»</w:t>
      </w:r>
      <w:r>
        <w:rPr>
          <w:rFonts w:ascii="Marianne" w:hAnsi="Marianne"/>
          <w:sz w:val="18"/>
        </w:rPr>
        <w:t xml:space="preserve"> sont codifiés au II de l’article 44 </w:t>
      </w:r>
      <w:r>
        <w:rPr>
          <w:rFonts w:ascii="Marianne" w:hAnsi="Marianne"/>
          <w:i/>
          <w:sz w:val="18"/>
        </w:rPr>
        <w:t>quindecies</w:t>
      </w:r>
      <w:r>
        <w:rPr>
          <w:rFonts w:ascii="Marianne" w:hAnsi="Marianne"/>
          <w:sz w:val="18"/>
        </w:rPr>
        <w:t xml:space="preserve"> A du CGI.</w:t>
      </w:r>
    </w:p>
  </w:footnote>
  <w:footnote w:id="3">
    <w:p w14:paraId="3266AC0E" w14:textId="77777777" w:rsidR="00D964A6" w:rsidRDefault="00D964A6">
      <w:pPr>
        <w:pStyle w:val="Notedebasdepage"/>
        <w:rPr>
          <w:rFonts w:ascii="Marianne" w:hAnsi="Marianne"/>
        </w:rPr>
      </w:pPr>
      <w:r>
        <w:rPr>
          <w:rStyle w:val="Caractresdenotedebasdepage"/>
        </w:rPr>
        <w:footnoteRef/>
      </w:r>
      <w:r>
        <w:rPr>
          <w:rFonts w:ascii="Marianne" w:hAnsi="Marianne"/>
          <w:sz w:val="18"/>
        </w:rPr>
        <w:t xml:space="preserve"> Arrêté du 19 juin 2024 constatant le classement de communes en zone France ruralités revitalisation.</w:t>
      </w:r>
    </w:p>
  </w:footnote>
  <w:footnote w:id="4">
    <w:p w14:paraId="27E3712D" w14:textId="77777777" w:rsidR="00D964A6" w:rsidRDefault="00D964A6">
      <w:pPr>
        <w:pStyle w:val="Notedebasdepage"/>
        <w:rPr>
          <w:rFonts w:ascii="Marianne" w:hAnsi="Marianne"/>
        </w:rPr>
      </w:pPr>
      <w:r>
        <w:rPr>
          <w:rStyle w:val="Caractresdenotedebasdepage"/>
        </w:rPr>
        <w:footnoteRef/>
      </w:r>
      <w:r>
        <w:rPr>
          <w:rFonts w:ascii="Marianne" w:hAnsi="Marianne"/>
          <w:sz w:val="18"/>
        </w:rPr>
        <w:t xml:space="preserve"> Article 44 </w:t>
      </w:r>
      <w:r>
        <w:rPr>
          <w:rFonts w:ascii="Marianne" w:hAnsi="Marianne"/>
          <w:i/>
          <w:sz w:val="18"/>
        </w:rPr>
        <w:t xml:space="preserve">quindecies </w:t>
      </w:r>
      <w:r>
        <w:rPr>
          <w:rFonts w:ascii="Marianne" w:hAnsi="Marianne"/>
          <w:sz w:val="18"/>
        </w:rPr>
        <w:t>A du code général des impôts.</w:t>
      </w:r>
    </w:p>
  </w:footnote>
  <w:footnote w:id="5">
    <w:p w14:paraId="5B7987E3" w14:textId="77777777" w:rsidR="00D964A6" w:rsidRDefault="00D964A6">
      <w:pPr>
        <w:pStyle w:val="Notedebasdepage"/>
        <w:rPr>
          <w:rFonts w:ascii="Marianne" w:hAnsi="Marianne"/>
        </w:rPr>
      </w:pPr>
      <w:r>
        <w:rPr>
          <w:rStyle w:val="Caractresdenotedebasdepage"/>
        </w:rPr>
        <w:footnoteRef/>
      </w:r>
      <w:r>
        <w:rPr>
          <w:rFonts w:ascii="Marianne" w:hAnsi="Marianne"/>
          <w:sz w:val="18"/>
        </w:rPr>
        <w:t xml:space="preserve"> Article 1466 G du code général des impôts.</w:t>
      </w:r>
    </w:p>
  </w:footnote>
  <w:footnote w:id="6">
    <w:p w14:paraId="605F06AD" w14:textId="77777777" w:rsidR="00D964A6" w:rsidRDefault="00D964A6">
      <w:pPr>
        <w:pStyle w:val="Notedebasdepage"/>
        <w:rPr>
          <w:rFonts w:ascii="Marianne" w:hAnsi="Marianne"/>
        </w:rPr>
      </w:pPr>
      <w:r>
        <w:rPr>
          <w:rStyle w:val="Caractresdenotedebasdepage"/>
        </w:rPr>
        <w:footnoteRef/>
      </w:r>
      <w:r>
        <w:rPr>
          <w:rFonts w:ascii="Marianne" w:hAnsi="Marianne"/>
          <w:sz w:val="18"/>
        </w:rPr>
        <w:t xml:space="preserve"> Article 1383 K du code général des impôts.</w:t>
      </w:r>
    </w:p>
  </w:footnote>
  <w:footnote w:id="7">
    <w:p w14:paraId="388FF450" w14:textId="77777777" w:rsidR="00D964A6" w:rsidRDefault="00D964A6">
      <w:pPr>
        <w:pStyle w:val="Notedebasdepage"/>
        <w:jc w:val="both"/>
      </w:pPr>
      <w:r>
        <w:rPr>
          <w:rStyle w:val="Caractresdenotedebasdepage"/>
        </w:rPr>
        <w:footnoteRef/>
      </w:r>
      <w:r>
        <w:t xml:space="preserve"> </w:t>
      </w:r>
      <w:r w:rsidRPr="00CF5E54">
        <w:rPr>
          <w:rFonts w:ascii="Marianne" w:hAnsi="Marianne"/>
          <w:sz w:val="18"/>
        </w:rPr>
        <w:t>Le régime d’exonération est ouvert aux micro-entreprises uniquement pour les créations et les reprises d’activités en zone FRR+.</w:t>
      </w:r>
    </w:p>
  </w:footnote>
  <w:footnote w:id="8">
    <w:p w14:paraId="059C7643" w14:textId="77777777" w:rsidR="00D964A6" w:rsidRDefault="00D964A6">
      <w:pPr>
        <w:pStyle w:val="Notedebasdepage"/>
        <w:rPr>
          <w:rFonts w:ascii="Marianne" w:hAnsi="Marianne"/>
          <w:sz w:val="18"/>
        </w:rPr>
      </w:pPr>
      <w:r>
        <w:rPr>
          <w:rStyle w:val="Caractresdenotedebasdepage"/>
        </w:rPr>
        <w:footnoteRef/>
      </w:r>
      <w:r>
        <w:rPr>
          <w:rFonts w:ascii="Marianne" w:hAnsi="Marianne"/>
          <w:sz w:val="18"/>
        </w:rPr>
        <w:t xml:space="preserve"> Modèle de délibération</w:t>
      </w:r>
      <w:r>
        <w:rPr>
          <w:rFonts w:cs="Calibri"/>
          <w:sz w:val="18"/>
        </w:rPr>
        <w:t> </w:t>
      </w:r>
      <w:r>
        <w:rPr>
          <w:rFonts w:ascii="Marianne" w:hAnsi="Marianne"/>
          <w:sz w:val="18"/>
        </w:rPr>
        <w:t xml:space="preserve">: </w:t>
      </w:r>
    </w:p>
    <w:p w14:paraId="5E71899B" w14:textId="77777777" w:rsidR="00D964A6" w:rsidRDefault="00AE1A41">
      <w:pPr>
        <w:pStyle w:val="Notedebasdepage"/>
        <w:rPr>
          <w:rFonts w:ascii="Marianne" w:hAnsi="Marianne"/>
        </w:rPr>
      </w:pPr>
      <w:hyperlink r:id="rId2">
        <w:r w:rsidR="00D964A6">
          <w:rPr>
            <w:rStyle w:val="LienInternet"/>
            <w:rFonts w:ascii="Marianne" w:hAnsi="Marianne"/>
            <w:sz w:val="18"/>
          </w:rPr>
          <w:t>https://www.collectivites-locales.gouv.fr/files/finances-locales/deliberations/TFB-21-2024.pdf</w:t>
        </w:r>
      </w:hyperlink>
    </w:p>
  </w:footnote>
  <w:footnote w:id="9">
    <w:p w14:paraId="44B8F206" w14:textId="77777777" w:rsidR="00D964A6" w:rsidRDefault="00D964A6">
      <w:pPr>
        <w:pStyle w:val="Notedebasdepage"/>
        <w:rPr>
          <w:rFonts w:ascii="Marianne" w:hAnsi="Marianne"/>
          <w:sz w:val="18"/>
        </w:rPr>
      </w:pPr>
      <w:r>
        <w:rPr>
          <w:rStyle w:val="Caractresdenotedebasdepage"/>
        </w:rPr>
        <w:footnoteRef/>
      </w:r>
      <w:r>
        <w:rPr>
          <w:rFonts w:ascii="Marianne" w:hAnsi="Marianne"/>
          <w:sz w:val="18"/>
        </w:rPr>
        <w:t xml:space="preserve"> Modèle de délibération</w:t>
      </w:r>
      <w:r>
        <w:rPr>
          <w:rFonts w:cs="Calibri"/>
          <w:sz w:val="18"/>
        </w:rPr>
        <w:t> </w:t>
      </w:r>
      <w:r>
        <w:rPr>
          <w:rFonts w:ascii="Marianne" w:hAnsi="Marianne"/>
          <w:sz w:val="18"/>
        </w:rPr>
        <w:t xml:space="preserve">: </w:t>
      </w:r>
    </w:p>
    <w:p w14:paraId="0629AD8B" w14:textId="42F12691" w:rsidR="00D964A6" w:rsidRPr="003C1474" w:rsidRDefault="00AE1A41">
      <w:pPr>
        <w:pStyle w:val="Notedebasdepage"/>
        <w:rPr>
          <w:rFonts w:ascii="Marianne" w:hAnsi="Marianne"/>
        </w:rPr>
      </w:pPr>
      <w:hyperlink r:id="rId3" w:history="1">
        <w:r w:rsidR="003C1474" w:rsidRPr="003C1474">
          <w:rPr>
            <w:rStyle w:val="Lienhypertexte"/>
            <w:rFonts w:ascii="Marianne" w:hAnsi="Marianne"/>
            <w:sz w:val="18"/>
          </w:rPr>
          <w:t>https://www.collectivites-locales.gouv.fr/files/finances-locales/deliberations/TH-6-2025.pdf</w:t>
        </w:r>
      </w:hyperlink>
    </w:p>
  </w:footnote>
  <w:footnote w:id="10">
    <w:p w14:paraId="07F36D6A" w14:textId="77777777" w:rsidR="00D964A6" w:rsidRDefault="00D964A6">
      <w:pPr>
        <w:pStyle w:val="Notedebasdepage"/>
        <w:rPr>
          <w:rFonts w:ascii="Marianne" w:hAnsi="Marianne"/>
          <w:sz w:val="18"/>
          <w:szCs w:val="18"/>
        </w:rPr>
      </w:pPr>
      <w:r>
        <w:rPr>
          <w:rStyle w:val="Caractresdenotedebasdepage"/>
        </w:rPr>
        <w:footnoteRef/>
      </w:r>
      <w:r>
        <w:rPr>
          <w:rFonts w:ascii="Marianne" w:hAnsi="Marianne"/>
          <w:sz w:val="18"/>
          <w:szCs w:val="18"/>
        </w:rPr>
        <w:t xml:space="preserve"> Modèle de délibération</w:t>
      </w:r>
      <w:r>
        <w:rPr>
          <w:rFonts w:cs="Calibri"/>
          <w:sz w:val="18"/>
          <w:szCs w:val="18"/>
        </w:rPr>
        <w:t> </w:t>
      </w:r>
      <w:r>
        <w:rPr>
          <w:rFonts w:ascii="Marianne" w:hAnsi="Marianne"/>
          <w:sz w:val="18"/>
          <w:szCs w:val="18"/>
        </w:rPr>
        <w:t>:</w:t>
      </w:r>
    </w:p>
    <w:p w14:paraId="20B92CAA" w14:textId="77777777" w:rsidR="00D964A6" w:rsidRDefault="00AE1A41">
      <w:pPr>
        <w:pStyle w:val="Notedebasdepage"/>
        <w:rPr>
          <w:rFonts w:ascii="Marianne" w:hAnsi="Marianne"/>
          <w:sz w:val="18"/>
          <w:szCs w:val="18"/>
        </w:rPr>
      </w:pPr>
      <w:hyperlink r:id="rId4">
        <w:r w:rsidR="00D964A6">
          <w:rPr>
            <w:rStyle w:val="LienInternet"/>
            <w:rFonts w:ascii="Marianne" w:hAnsi="Marianne"/>
            <w:sz w:val="18"/>
            <w:szCs w:val="18"/>
          </w:rPr>
          <w:t>https://www.collectivites-locales.gouv.fr/files/finances-locales/deliberations/CET-5-2024.pdf</w:t>
        </w:r>
      </w:hyperlink>
      <w:r w:rsidR="00D964A6">
        <w:rPr>
          <w:rFonts w:ascii="Marianne" w:hAnsi="Marianne"/>
          <w:sz w:val="18"/>
          <w:szCs w:val="18"/>
        </w:rPr>
        <w:t xml:space="preserve"> </w:t>
      </w:r>
    </w:p>
  </w:footnote>
  <w:footnote w:id="11">
    <w:p w14:paraId="7AF32F39" w14:textId="77777777" w:rsidR="00D964A6" w:rsidRDefault="00D964A6">
      <w:pPr>
        <w:pStyle w:val="Notedebasdepage"/>
        <w:rPr>
          <w:rFonts w:ascii="Marianne" w:hAnsi="Marianne"/>
          <w:sz w:val="18"/>
          <w:szCs w:val="18"/>
        </w:rPr>
      </w:pPr>
      <w:r>
        <w:rPr>
          <w:rStyle w:val="Caractresdenotedebasdepage"/>
        </w:rPr>
        <w:footnoteRef/>
      </w:r>
      <w:r>
        <w:rPr>
          <w:rFonts w:ascii="Marianne" w:hAnsi="Marianne"/>
          <w:sz w:val="18"/>
          <w:szCs w:val="18"/>
        </w:rPr>
        <w:t xml:space="preserve"> Modèle de délibération</w:t>
      </w:r>
      <w:r>
        <w:rPr>
          <w:rFonts w:cs="Calibri"/>
          <w:sz w:val="18"/>
          <w:szCs w:val="18"/>
        </w:rPr>
        <w:t> </w:t>
      </w:r>
      <w:r>
        <w:rPr>
          <w:rFonts w:ascii="Marianne" w:hAnsi="Marianne"/>
          <w:sz w:val="18"/>
          <w:szCs w:val="18"/>
        </w:rPr>
        <w:t xml:space="preserve">: </w:t>
      </w:r>
    </w:p>
    <w:p w14:paraId="5E67AA1F" w14:textId="77777777" w:rsidR="00D964A6" w:rsidRDefault="00AE1A41">
      <w:pPr>
        <w:pStyle w:val="Notedebasdepage"/>
      </w:pPr>
      <w:hyperlink r:id="rId5">
        <w:r w:rsidR="00D964A6">
          <w:rPr>
            <w:rStyle w:val="LienInternet"/>
            <w:rFonts w:ascii="Marianne" w:hAnsi="Marianne"/>
            <w:sz w:val="18"/>
            <w:szCs w:val="18"/>
          </w:rPr>
          <w:t>https://www.collectivites-locales.gouv.fr/files/finances-locales/deliberations/TFB-12-2024.pdf</w:t>
        </w:r>
      </w:hyperlink>
    </w:p>
  </w:footnote>
  <w:footnote w:id="12">
    <w:p w14:paraId="20EDC49E" w14:textId="729233ED" w:rsidR="007A0B7C" w:rsidRDefault="00D964A6" w:rsidP="00467DBF">
      <w:pPr>
        <w:pStyle w:val="Notedebasdepage"/>
        <w:jc w:val="both"/>
      </w:pPr>
      <w:r>
        <w:rPr>
          <w:rStyle w:val="Caractresdenotedebasdepage"/>
        </w:rPr>
        <w:footnoteRef/>
      </w:r>
      <w:r w:rsidR="007A0B7C">
        <w:t xml:space="preserve"> </w:t>
      </w:r>
      <w:r w:rsidR="007A0B7C">
        <w:rPr>
          <w:rFonts w:ascii="Marianne" w:hAnsi="Marianne"/>
          <w:sz w:val="18"/>
        </w:rPr>
        <w:t>Modèles de délibération</w:t>
      </w:r>
      <w:r w:rsidR="00FC2811">
        <w:rPr>
          <w:rFonts w:ascii="Marianne" w:hAnsi="Marianne"/>
          <w:sz w:val="18"/>
        </w:rPr>
        <w:t xml:space="preserve"> (TFPB et CFE)</w:t>
      </w:r>
      <w:r w:rsidR="007A0B7C">
        <w:rPr>
          <w:rFonts w:cs="Calibri"/>
          <w:sz w:val="18"/>
        </w:rPr>
        <w:t> </w:t>
      </w:r>
      <w:r w:rsidR="007A0B7C">
        <w:rPr>
          <w:rFonts w:ascii="Marianne" w:hAnsi="Marianne"/>
          <w:sz w:val="18"/>
        </w:rPr>
        <w:t>:</w:t>
      </w:r>
    </w:p>
    <w:p w14:paraId="49F65063" w14:textId="5CCF89FE" w:rsidR="00D964A6" w:rsidRDefault="00AE1A41" w:rsidP="00467DBF">
      <w:pPr>
        <w:pStyle w:val="Notedebasdepage"/>
        <w:jc w:val="both"/>
        <w:rPr>
          <w:rFonts w:ascii="Marianne" w:hAnsi="Marianne"/>
          <w:sz w:val="18"/>
        </w:rPr>
      </w:pPr>
      <w:hyperlink r:id="rId6">
        <w:r w:rsidR="00D964A6">
          <w:rPr>
            <w:rStyle w:val="LienInternet"/>
            <w:rFonts w:ascii="Marianne" w:hAnsi="Marianne"/>
            <w:sz w:val="18"/>
          </w:rPr>
          <w:t>https://www.collectivites-locales.gouv.fr/files/finances-locales/deliberations/TFB-46-2024_v040724.pdf</w:t>
        </w:r>
      </w:hyperlink>
    </w:p>
    <w:p w14:paraId="0976B9BD" w14:textId="77777777" w:rsidR="00D964A6" w:rsidRDefault="00AE1A41">
      <w:pPr>
        <w:pStyle w:val="Notedebasdepage"/>
        <w:jc w:val="both"/>
        <w:rPr>
          <w:rFonts w:ascii="Marianne" w:hAnsi="Marianne"/>
          <w:sz w:val="18"/>
        </w:rPr>
      </w:pPr>
      <w:hyperlink r:id="rId7">
        <w:r w:rsidR="00D964A6">
          <w:rPr>
            <w:rStyle w:val="LienInternet"/>
            <w:rFonts w:ascii="Marianne" w:hAnsi="Marianne"/>
            <w:sz w:val="18"/>
          </w:rPr>
          <w:t>https://www.collectivites-locales.gouv.fr/files/finances-locales/deliberations/CFE-42-2024_040724.pdf</w:t>
        </w:r>
      </w:hyperlink>
      <w:r w:rsidR="00D964A6">
        <w:rPr>
          <w:rFonts w:ascii="Marianne" w:hAnsi="Marianne"/>
          <w:sz w:val="18"/>
        </w:rPr>
        <w:t xml:space="preserve"> </w:t>
      </w:r>
    </w:p>
  </w:footnote>
  <w:footnote w:id="13">
    <w:p w14:paraId="2AC03DFC" w14:textId="77777777" w:rsidR="00D964A6" w:rsidRDefault="00D964A6">
      <w:pPr>
        <w:pStyle w:val="Notedebasdepage"/>
        <w:jc w:val="both"/>
      </w:pPr>
      <w:r>
        <w:rPr>
          <w:rStyle w:val="Caractresdenotedebasdepage"/>
        </w:rPr>
        <w:footnoteRef/>
      </w:r>
      <w:r>
        <w:rPr>
          <w:rFonts w:ascii="Marianne" w:hAnsi="Marianne"/>
          <w:sz w:val="18"/>
        </w:rPr>
        <w:t xml:space="preserve"> Les modèles de délibérations sont ceux figurant dans la note ci-dessus.</w:t>
      </w:r>
    </w:p>
  </w:footnote>
  <w:footnote w:id="14">
    <w:p w14:paraId="2C16BA79" w14:textId="0D631749" w:rsidR="00D964A6" w:rsidRDefault="00D964A6">
      <w:pPr>
        <w:pStyle w:val="Notedebasdepage"/>
        <w:jc w:val="both"/>
        <w:rPr>
          <w:rFonts w:ascii="Marianne" w:hAnsi="Marianne"/>
        </w:rPr>
      </w:pPr>
      <w:r>
        <w:rPr>
          <w:rStyle w:val="Caractresdenotedebasdepage"/>
        </w:rPr>
        <w:footnoteRef/>
      </w:r>
      <w:r>
        <w:rPr>
          <w:rFonts w:ascii="Marianne" w:hAnsi="Marianne"/>
        </w:rPr>
        <w:t xml:space="preserve"> </w:t>
      </w:r>
      <w:r w:rsidR="007D7F1B">
        <w:rPr>
          <w:rFonts w:ascii="Marianne" w:hAnsi="Marianne"/>
          <w:sz w:val="18"/>
        </w:rPr>
        <w:t>L’ensemble des communes FRR «</w:t>
      </w:r>
      <w:r w:rsidR="007D7F1B">
        <w:rPr>
          <w:rFonts w:cs="Calibri"/>
          <w:sz w:val="18"/>
        </w:rPr>
        <w:t> </w:t>
      </w:r>
      <w:r w:rsidR="007D7F1B">
        <w:rPr>
          <w:rFonts w:ascii="Marianne" w:hAnsi="Marianne"/>
          <w:sz w:val="18"/>
        </w:rPr>
        <w:t>bénéficiaires</w:t>
      </w:r>
      <w:r w:rsidR="007D7F1B">
        <w:rPr>
          <w:rFonts w:cs="Calibri"/>
          <w:sz w:val="18"/>
        </w:rPr>
        <w:t> </w:t>
      </w:r>
      <w:r w:rsidR="007D7F1B">
        <w:rPr>
          <w:rFonts w:ascii="Marianne" w:hAnsi="Marianne" w:cs="Marianne"/>
          <w:sz w:val="18"/>
        </w:rPr>
        <w:t>»</w:t>
      </w:r>
      <w:r w:rsidR="007D7F1B">
        <w:rPr>
          <w:rFonts w:ascii="Marianne" w:hAnsi="Marianne"/>
          <w:sz w:val="18"/>
        </w:rPr>
        <w:t xml:space="preserve">, </w:t>
      </w:r>
      <w:r>
        <w:rPr>
          <w:rFonts w:ascii="Marianne" w:hAnsi="Marianne"/>
          <w:sz w:val="18"/>
        </w:rPr>
        <w:t>Vinon-sur-Verdon</w:t>
      </w:r>
      <w:r w:rsidR="007D7F1B">
        <w:rPr>
          <w:rFonts w:ascii="Marianne" w:hAnsi="Marianne"/>
          <w:sz w:val="18"/>
        </w:rPr>
        <w:t xml:space="preserve"> et</w:t>
      </w:r>
      <w:r>
        <w:rPr>
          <w:rFonts w:ascii="Marianne" w:hAnsi="Marianne"/>
          <w:sz w:val="18"/>
        </w:rPr>
        <w:t xml:space="preserve"> I</w:t>
      </w:r>
      <w:r w:rsidR="007D7F1B">
        <w:rPr>
          <w:rFonts w:ascii="Marianne" w:hAnsi="Marianne"/>
          <w:sz w:val="18"/>
        </w:rPr>
        <w:t>ngrandes-le-Fresne-sur-Loire.</w:t>
      </w:r>
    </w:p>
  </w:footnote>
  <w:footnote w:id="15">
    <w:p w14:paraId="7EFC8A32" w14:textId="77777777" w:rsidR="00D964A6" w:rsidRDefault="00D964A6">
      <w:pPr>
        <w:pStyle w:val="Notedebasdepage"/>
        <w:jc w:val="both"/>
        <w:rPr>
          <w:rFonts w:ascii="Marianne" w:hAnsi="Marianne"/>
        </w:rPr>
      </w:pPr>
      <w:r>
        <w:rPr>
          <w:rStyle w:val="Caractresdenotedebasdepage"/>
        </w:rPr>
        <w:footnoteRef/>
      </w:r>
      <w:r>
        <w:rPr>
          <w:rFonts w:ascii="Marianne" w:hAnsi="Marianne"/>
          <w:sz w:val="18"/>
        </w:rPr>
        <w:t xml:space="preserve"> Ces incompatibilités, résultant de règles de non-cumul, concernent les exonérations d’IR/IS (voir le VIII de l’article 44 </w:t>
      </w:r>
      <w:r>
        <w:rPr>
          <w:rFonts w:ascii="Marianne" w:hAnsi="Marianne"/>
          <w:i/>
          <w:sz w:val="18"/>
        </w:rPr>
        <w:t xml:space="preserve">quindecies </w:t>
      </w:r>
      <w:r>
        <w:rPr>
          <w:rFonts w:ascii="Marianne" w:hAnsi="Marianne"/>
          <w:sz w:val="18"/>
        </w:rPr>
        <w:t>A du CGI). Il existe également des incompatibilités concernant les exonérations de TFPB et de CFE prévues en FRR et dans d’autres dispositifs de zonage (par exemple, en ZAFR, QPV, etc.</w:t>
      </w:r>
      <w:r>
        <w:rPr>
          <w:rFonts w:ascii="Marianne" w:hAnsi="Marianne"/>
          <w:b/>
          <w:sz w:val="18"/>
        </w:rPr>
        <w:t xml:space="preserve">) </w:t>
      </w:r>
      <w:r>
        <w:rPr>
          <w:rFonts w:ascii="Marianne" w:hAnsi="Marianne"/>
          <w:sz w:val="18"/>
        </w:rPr>
        <w:t>ou dans des secteurs d’activité spécifiques nécessitant aussi d’opter pour l’un ou l’autre des régimes (voir les articles 1383 K et 1466 G du CGI).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337" w:type="dxa"/>
      <w:tblLayout w:type="fixed"/>
      <w:tblLook w:val="04A0" w:firstRow="1" w:lastRow="0" w:firstColumn="1" w:lastColumn="0" w:noHBand="0" w:noVBand="1"/>
    </w:tblPr>
    <w:tblGrid>
      <w:gridCol w:w="3163"/>
      <w:gridCol w:w="2174"/>
    </w:tblGrid>
    <w:tr w:rsidR="00D964A6" w14:paraId="2E886F59" w14:textId="77777777">
      <w:trPr>
        <w:trHeight w:val="1843"/>
      </w:trPr>
      <w:tc>
        <w:tcPr>
          <w:tcW w:w="3162" w:type="dxa"/>
          <w:tcBorders>
            <w:top w:val="nil"/>
            <w:left w:val="nil"/>
            <w:bottom w:val="nil"/>
            <w:right w:val="nil"/>
          </w:tcBorders>
        </w:tcPr>
        <w:p w14:paraId="1B41DFC6" w14:textId="77777777" w:rsidR="00D964A6" w:rsidRDefault="00D964A6">
          <w:pPr>
            <w:pStyle w:val="En-tte1"/>
            <w:widowControl w:val="0"/>
            <w:spacing w:after="0" w:line="240" w:lineRule="auto"/>
          </w:pPr>
          <w:r>
            <w:rPr>
              <w:noProof/>
              <w:lang w:eastAsia="fr-FR"/>
            </w:rPr>
            <w:drawing>
              <wp:inline distT="0" distB="0" distL="0" distR="0" wp14:anchorId="1AB81387" wp14:editId="22D1F404">
                <wp:extent cx="1871345" cy="114935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1"/>
                        <a:stretch>
                          <a:fillRect/>
                        </a:stretch>
                      </pic:blipFill>
                      <pic:spPr bwMode="auto">
                        <a:xfrm>
                          <a:off x="0" y="0"/>
                          <a:ext cx="1871345" cy="1149350"/>
                        </a:xfrm>
                        <a:prstGeom prst="rect">
                          <a:avLst/>
                        </a:prstGeom>
                      </pic:spPr>
                    </pic:pic>
                  </a:graphicData>
                </a:graphic>
              </wp:inline>
            </w:drawing>
          </w:r>
        </w:p>
      </w:tc>
      <w:tc>
        <w:tcPr>
          <w:tcW w:w="2174" w:type="dxa"/>
          <w:tcBorders>
            <w:top w:val="nil"/>
            <w:left w:val="nil"/>
            <w:bottom w:val="nil"/>
            <w:right w:val="nil"/>
          </w:tcBorders>
        </w:tcPr>
        <w:p w14:paraId="49326CE5" w14:textId="3EF2C2E2" w:rsidR="00D964A6" w:rsidRDefault="00D964A6">
          <w:pPr>
            <w:pStyle w:val="En-tte1"/>
            <w:widowControl w:val="0"/>
            <w:spacing w:after="0" w:line="240" w:lineRule="auto"/>
          </w:pPr>
          <w:r>
            <w:rPr>
              <w:noProof/>
              <w:lang w:eastAsia="fr-FR"/>
            </w:rPr>
            <w:drawing>
              <wp:inline distT="0" distB="0" distL="0" distR="0" wp14:anchorId="6B8B0C5A" wp14:editId="5065BCCD">
                <wp:extent cx="1035050" cy="1042035"/>
                <wp:effectExtent l="0" t="0" r="0" b="0"/>
                <wp:docPr id="3" name="Image 5" descr="S:\EspaceCABINET\06_Pôle_Communication\MISSION COMMUNICATION\Création graphique 2025 et archives\3- Blocs marques et Logos - Gouv Bayrou 2025\MINISTERE CHARGE DE LA RURALITE\MINISTERE CHARGE DE LA RURALITE\PNG\Ministère chargé de la ruralit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S:\EspaceCABINET\06_Pôle_Communication\MISSION COMMUNICATION\Création graphique 2025 et archives\3- Blocs marques et Logos - Gouv Bayrou 2025\MINISTERE CHARGE DE LA RURALITE\MINISTERE CHARGE DE LA RURALITE\PNG\Ministère chargé de la ruralité_RVB.png"/>
                        <pic:cNvPicPr>
                          <a:picLocks noChangeAspect="1" noChangeArrowheads="1"/>
                        </pic:cNvPicPr>
                      </pic:nvPicPr>
                      <pic:blipFill>
                        <a:blip r:embed="rId2"/>
                        <a:stretch>
                          <a:fillRect/>
                        </a:stretch>
                      </pic:blipFill>
                      <pic:spPr bwMode="auto">
                        <a:xfrm>
                          <a:off x="0" y="0"/>
                          <a:ext cx="1035050" cy="1042035"/>
                        </a:xfrm>
                        <a:prstGeom prst="rect">
                          <a:avLst/>
                        </a:prstGeom>
                      </pic:spPr>
                    </pic:pic>
                  </a:graphicData>
                </a:graphic>
              </wp:inline>
            </w:drawing>
          </w:r>
        </w:p>
      </w:tc>
    </w:tr>
  </w:tbl>
  <w:p w14:paraId="43248139" w14:textId="77777777" w:rsidR="00D964A6" w:rsidRDefault="00D964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C3B"/>
    <w:multiLevelType w:val="multilevel"/>
    <w:tmpl w:val="6144F9E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C52EDC"/>
    <w:multiLevelType w:val="multilevel"/>
    <w:tmpl w:val="CDA864EA"/>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7A15427"/>
    <w:multiLevelType w:val="multilevel"/>
    <w:tmpl w:val="2D4284C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08EC04A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1932E3"/>
    <w:multiLevelType w:val="multilevel"/>
    <w:tmpl w:val="DA00D41C"/>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0D4212"/>
    <w:multiLevelType w:val="multilevel"/>
    <w:tmpl w:val="BECE6D8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22220E"/>
    <w:multiLevelType w:val="multilevel"/>
    <w:tmpl w:val="7CA68774"/>
    <w:lvl w:ilvl="0">
      <w:start w:val="1"/>
      <w:numFmt w:val="upperRoman"/>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C27715"/>
    <w:multiLevelType w:val="multilevel"/>
    <w:tmpl w:val="69A07D70"/>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8" w15:restartNumberingAfterBreak="0">
    <w:nsid w:val="1082057D"/>
    <w:multiLevelType w:val="multilevel"/>
    <w:tmpl w:val="71345BC8"/>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0"/>
        </w:tabs>
        <w:ind w:left="720" w:hanging="720"/>
      </w:pPr>
    </w:lvl>
    <w:lvl w:ilvl="2">
      <w:start w:val="1"/>
      <w:numFmt w:val="lowerRoman"/>
      <w:lvlText w:val="%3."/>
      <w:lvlJc w:val="righ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14745935"/>
    <w:multiLevelType w:val="multilevel"/>
    <w:tmpl w:val="01A8FB9C"/>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4C7984"/>
    <w:multiLevelType w:val="multilevel"/>
    <w:tmpl w:val="FDC89D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DC55CE"/>
    <w:multiLevelType w:val="multilevel"/>
    <w:tmpl w:val="16CE32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EF2C0B"/>
    <w:multiLevelType w:val="multilevel"/>
    <w:tmpl w:val="D2B62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E2C7B"/>
    <w:multiLevelType w:val="multilevel"/>
    <w:tmpl w:val="438816F0"/>
    <w:lvl w:ilvl="0">
      <w:start w:val="1"/>
      <w:numFmt w:val="bullet"/>
      <w:lvlText w:val="-"/>
      <w:lvlJc w:val="left"/>
      <w:pPr>
        <w:tabs>
          <w:tab w:val="num" w:pos="0"/>
        </w:tabs>
        <w:ind w:left="720" w:hanging="360"/>
      </w:pPr>
      <w:rPr>
        <w:rFonts w:ascii="Arial" w:hAnsi="Arial" w:cs="Arial" w:hint="default"/>
        <w:color w:val="231F20"/>
        <w:spacing w:val="-1"/>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E973A9"/>
    <w:multiLevelType w:val="multilevel"/>
    <w:tmpl w:val="CF8A79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51B2AA7"/>
    <w:multiLevelType w:val="multilevel"/>
    <w:tmpl w:val="F21A83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834076"/>
    <w:multiLevelType w:val="multilevel"/>
    <w:tmpl w:val="7DC2EB44"/>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9BA066C"/>
    <w:multiLevelType w:val="hybridMultilevel"/>
    <w:tmpl w:val="80744D42"/>
    <w:lvl w:ilvl="0" w:tplc="5356884E">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EA3842"/>
    <w:multiLevelType w:val="multilevel"/>
    <w:tmpl w:val="E182EA9C"/>
    <w:lvl w:ilvl="0">
      <w:start w:val="1"/>
      <w:numFmt w:val="bullet"/>
      <w:lvlText w:val="-"/>
      <w:lvlJc w:val="left"/>
      <w:pPr>
        <w:tabs>
          <w:tab w:val="num" w:pos="0"/>
        </w:tabs>
        <w:ind w:left="720" w:hanging="360"/>
      </w:pPr>
      <w:rPr>
        <w:rFonts w:ascii="Arial" w:hAnsi="Arial" w:cs="Arial" w:hint="default"/>
        <w:color w:val="231F20"/>
        <w:spacing w:val="-1"/>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4740D70"/>
    <w:multiLevelType w:val="multilevel"/>
    <w:tmpl w:val="729C5F06"/>
    <w:lvl w:ilvl="0">
      <w:start w:val="1"/>
      <w:numFmt w:val="bullet"/>
      <w:lvlText w:val="-"/>
      <w:lvlJc w:val="left"/>
      <w:pPr>
        <w:tabs>
          <w:tab w:val="num" w:pos="0"/>
        </w:tabs>
        <w:ind w:left="720" w:hanging="360"/>
      </w:pPr>
      <w:rPr>
        <w:rFonts w:ascii="Arial" w:hAnsi="Arial" w:cs="Arial" w:hint="default"/>
        <w:color w:val="231F20"/>
        <w:spacing w:val="-1"/>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47A5C96"/>
    <w:multiLevelType w:val="hybridMultilevel"/>
    <w:tmpl w:val="066C9B94"/>
    <w:lvl w:ilvl="0" w:tplc="312600CC">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4A47BA"/>
    <w:multiLevelType w:val="hybridMultilevel"/>
    <w:tmpl w:val="9726260E"/>
    <w:lvl w:ilvl="0" w:tplc="E5AC7F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7E3E04"/>
    <w:multiLevelType w:val="multilevel"/>
    <w:tmpl w:val="CF34A3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AE82780"/>
    <w:multiLevelType w:val="multilevel"/>
    <w:tmpl w:val="2F44B5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4E82F4E"/>
    <w:multiLevelType w:val="multilevel"/>
    <w:tmpl w:val="06AA155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46FD0DE7"/>
    <w:multiLevelType w:val="multilevel"/>
    <w:tmpl w:val="161A5682"/>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793272C"/>
    <w:multiLevelType w:val="multilevel"/>
    <w:tmpl w:val="128CE038"/>
    <w:lvl w:ilvl="0">
      <w:start w:val="1"/>
      <w:numFmt w:val="bullet"/>
      <w:lvlText w:val="-"/>
      <w:lvlJc w:val="left"/>
      <w:pPr>
        <w:tabs>
          <w:tab w:val="num" w:pos="0"/>
        </w:tabs>
        <w:ind w:left="720" w:hanging="360"/>
      </w:pPr>
      <w:rPr>
        <w:rFonts w:ascii="Arial" w:hAnsi="Arial" w:cs="Arial" w:hint="default"/>
        <w:color w:val="231F20"/>
        <w:spacing w:val="-1"/>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89252F3"/>
    <w:multiLevelType w:val="multilevel"/>
    <w:tmpl w:val="3ED4BB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BB7433"/>
    <w:multiLevelType w:val="multilevel"/>
    <w:tmpl w:val="1F0A4A98"/>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1.%2."/>
      <w:lvlJc w:val="left"/>
      <w:pPr>
        <w:tabs>
          <w:tab w:val="num" w:pos="0"/>
        </w:tabs>
        <w:ind w:left="1222" w:hanging="720"/>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3088" w:hanging="1080"/>
      </w:pPr>
    </w:lvl>
    <w:lvl w:ilvl="5">
      <w:start w:val="1"/>
      <w:numFmt w:val="decimal"/>
      <w:lvlText w:val="%1.%2.%3.%4.%5.%6."/>
      <w:lvlJc w:val="left"/>
      <w:pPr>
        <w:tabs>
          <w:tab w:val="num" w:pos="0"/>
        </w:tabs>
        <w:ind w:left="3950" w:hanging="1440"/>
      </w:pPr>
    </w:lvl>
    <w:lvl w:ilvl="6">
      <w:start w:val="1"/>
      <w:numFmt w:val="decimal"/>
      <w:lvlText w:val="%1.%2.%3.%4.%5.%6.%7."/>
      <w:lvlJc w:val="left"/>
      <w:pPr>
        <w:tabs>
          <w:tab w:val="num" w:pos="0"/>
        </w:tabs>
        <w:ind w:left="4812" w:hanging="1800"/>
      </w:pPr>
    </w:lvl>
    <w:lvl w:ilvl="7">
      <w:start w:val="1"/>
      <w:numFmt w:val="decimal"/>
      <w:lvlText w:val="%1.%2.%3.%4.%5.%6.%7.%8."/>
      <w:lvlJc w:val="left"/>
      <w:pPr>
        <w:tabs>
          <w:tab w:val="num" w:pos="0"/>
        </w:tabs>
        <w:ind w:left="5314" w:hanging="1800"/>
      </w:pPr>
    </w:lvl>
    <w:lvl w:ilvl="8">
      <w:start w:val="1"/>
      <w:numFmt w:val="decimal"/>
      <w:lvlText w:val="%1.%2.%3.%4.%5.%6.%7.%8.%9."/>
      <w:lvlJc w:val="left"/>
      <w:pPr>
        <w:tabs>
          <w:tab w:val="num" w:pos="0"/>
        </w:tabs>
        <w:ind w:left="6176" w:hanging="2160"/>
      </w:pPr>
    </w:lvl>
  </w:abstractNum>
  <w:abstractNum w:abstractNumId="29" w15:restartNumberingAfterBreak="0">
    <w:nsid w:val="54FE59F5"/>
    <w:multiLevelType w:val="multilevel"/>
    <w:tmpl w:val="ADB6A7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8795246"/>
    <w:multiLevelType w:val="hybridMultilevel"/>
    <w:tmpl w:val="141E06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620247"/>
    <w:multiLevelType w:val="multilevel"/>
    <w:tmpl w:val="3AFC3110"/>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0FE2D4E"/>
    <w:multiLevelType w:val="multilevel"/>
    <w:tmpl w:val="5EDEF54C"/>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BE67B9"/>
    <w:multiLevelType w:val="hybridMultilevel"/>
    <w:tmpl w:val="348647A2"/>
    <w:lvl w:ilvl="0" w:tplc="5F14E496">
      <w:start w:val="2"/>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A539DF"/>
    <w:multiLevelType w:val="multilevel"/>
    <w:tmpl w:val="CC660264"/>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5" w15:restartNumberingAfterBreak="0">
    <w:nsid w:val="6B6E1ED5"/>
    <w:multiLevelType w:val="multilevel"/>
    <w:tmpl w:val="0E20359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6" w15:restartNumberingAfterBreak="0">
    <w:nsid w:val="6BCE1BB3"/>
    <w:multiLevelType w:val="multilevel"/>
    <w:tmpl w:val="DA848588"/>
    <w:lvl w:ilvl="0">
      <w:start w:val="1"/>
      <w:numFmt w:val="bullet"/>
      <w:lvlText w:val=""/>
      <w:lvlJc w:val="righ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2D47C4"/>
    <w:multiLevelType w:val="hybridMultilevel"/>
    <w:tmpl w:val="EC0AD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2501A7"/>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9" w15:restartNumberingAfterBreak="0">
    <w:nsid w:val="74D5611C"/>
    <w:multiLevelType w:val="hybridMultilevel"/>
    <w:tmpl w:val="C92AFBC6"/>
    <w:lvl w:ilvl="0" w:tplc="7CA40C08">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2C5A69"/>
    <w:multiLevelType w:val="hybridMultilevel"/>
    <w:tmpl w:val="5D36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2540C5"/>
    <w:multiLevelType w:val="multilevel"/>
    <w:tmpl w:val="169A938E"/>
    <w:lvl w:ilvl="0">
      <w:start w:val="2"/>
      <w:numFmt w:val="bullet"/>
      <w:lvlText w:val="-"/>
      <w:lvlJc w:val="left"/>
      <w:pPr>
        <w:tabs>
          <w:tab w:val="num" w:pos="0"/>
        </w:tabs>
        <w:ind w:left="720" w:hanging="360"/>
      </w:pPr>
      <w:rPr>
        <w:rFonts w:ascii="Marianne" w:hAnsi="Marianne" w:cs="Mariann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8D848B9"/>
    <w:multiLevelType w:val="multilevel"/>
    <w:tmpl w:val="33E66F12"/>
    <w:lvl w:ilvl="0">
      <w:start w:val="1"/>
      <w:numFmt w:val="bullet"/>
      <w:lvlText w:val=""/>
      <w:lvlJc w:val="left"/>
      <w:pPr>
        <w:tabs>
          <w:tab w:val="num" w:pos="0"/>
        </w:tabs>
        <w:ind w:left="380" w:hanging="380"/>
      </w:pPr>
      <w:rPr>
        <w:rFonts w:ascii="Wingdings" w:hAnsi="Wingdings" w:cs="Wingdings" w:hint="default"/>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3" w15:restartNumberingAfterBreak="0">
    <w:nsid w:val="7A544343"/>
    <w:multiLevelType w:val="multilevel"/>
    <w:tmpl w:val="668EC092"/>
    <w:lvl w:ilvl="0">
      <w:start w:val="1"/>
      <w:numFmt w:val="bullet"/>
      <w:lvlText w:val=""/>
      <w:lvlJc w:val="right"/>
      <w:pPr>
        <w:tabs>
          <w:tab w:val="num" w:pos="0"/>
        </w:tabs>
        <w:ind w:left="72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A695C81"/>
    <w:multiLevelType w:val="multilevel"/>
    <w:tmpl w:val="D6B69BE6"/>
    <w:lvl w:ilvl="0">
      <w:start w:val="1"/>
      <w:numFmt w:val="decimal"/>
      <w:pStyle w:val="Titre2"/>
      <w:lvlText w:val="%1."/>
      <w:lvlJc w:val="left"/>
      <w:pPr>
        <w:tabs>
          <w:tab w:val="num" w:pos="0"/>
        </w:tabs>
        <w:ind w:left="720" w:hanging="360"/>
      </w:pPr>
      <w:rPr>
        <w:b/>
      </w:rPr>
    </w:lvl>
    <w:lvl w:ilvl="1">
      <w:start w:val="1"/>
      <w:numFmt w:val="decimal"/>
      <w:pStyle w:val="Titre3"/>
      <w:lvlText w:val="%1.%2."/>
      <w:lvlJc w:val="left"/>
      <w:pPr>
        <w:tabs>
          <w:tab w:val="num" w:pos="0"/>
        </w:tabs>
        <w:ind w:left="3272" w:hanging="72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7AFA25E7"/>
    <w:multiLevelType w:val="multilevel"/>
    <w:tmpl w:val="72E8B9A4"/>
    <w:lvl w:ilvl="0">
      <w:start w:val="1"/>
      <w:numFmt w:val="bullet"/>
      <w:pStyle w:val="Listepuc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C481F1E"/>
    <w:multiLevelType w:val="multilevel"/>
    <w:tmpl w:val="E01625B0"/>
    <w:lvl w:ilvl="0">
      <w:start w:val="1"/>
      <w:numFmt w:val="bullet"/>
      <w:lvlText w:val="-"/>
      <w:lvlJc w:val="left"/>
      <w:pPr>
        <w:tabs>
          <w:tab w:val="num" w:pos="0"/>
        </w:tabs>
        <w:ind w:left="1789" w:hanging="360"/>
      </w:pPr>
      <w:rPr>
        <w:rFonts w:ascii="Arial" w:hAnsi="Arial" w:cs="Arial" w:hint="default"/>
        <w:color w:val="231F20"/>
        <w:spacing w:val="-1"/>
        <w:sz w:val="20"/>
        <w:szCs w:val="20"/>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num w:numId="1">
    <w:abstractNumId w:val="44"/>
  </w:num>
  <w:num w:numId="2">
    <w:abstractNumId w:val="26"/>
  </w:num>
  <w:num w:numId="3">
    <w:abstractNumId w:val="14"/>
  </w:num>
  <w:num w:numId="4">
    <w:abstractNumId w:val="15"/>
  </w:num>
  <w:num w:numId="5">
    <w:abstractNumId w:val="24"/>
  </w:num>
  <w:num w:numId="6">
    <w:abstractNumId w:val="41"/>
  </w:num>
  <w:num w:numId="7">
    <w:abstractNumId w:val="10"/>
  </w:num>
  <w:num w:numId="8">
    <w:abstractNumId w:val="29"/>
  </w:num>
  <w:num w:numId="9">
    <w:abstractNumId w:val="22"/>
  </w:num>
  <w:num w:numId="10">
    <w:abstractNumId w:val="2"/>
  </w:num>
  <w:num w:numId="11">
    <w:abstractNumId w:val="43"/>
  </w:num>
  <w:num w:numId="12">
    <w:abstractNumId w:val="8"/>
  </w:num>
  <w:num w:numId="13">
    <w:abstractNumId w:val="28"/>
  </w:num>
  <w:num w:numId="14">
    <w:abstractNumId w:val="1"/>
  </w:num>
  <w:num w:numId="15">
    <w:abstractNumId w:val="42"/>
  </w:num>
  <w:num w:numId="16">
    <w:abstractNumId w:val="23"/>
  </w:num>
  <w:num w:numId="17">
    <w:abstractNumId w:val="35"/>
  </w:num>
  <w:num w:numId="18">
    <w:abstractNumId w:val="34"/>
  </w:num>
  <w:num w:numId="19">
    <w:abstractNumId w:val="45"/>
  </w:num>
  <w:num w:numId="20">
    <w:abstractNumId w:val="16"/>
  </w:num>
  <w:num w:numId="21">
    <w:abstractNumId w:val="5"/>
  </w:num>
  <w:num w:numId="22">
    <w:abstractNumId w:val="0"/>
  </w:num>
  <w:num w:numId="23">
    <w:abstractNumId w:val="36"/>
  </w:num>
  <w:num w:numId="24">
    <w:abstractNumId w:val="4"/>
  </w:num>
  <w:num w:numId="25">
    <w:abstractNumId w:val="38"/>
  </w:num>
  <w:num w:numId="26">
    <w:abstractNumId w:val="11"/>
  </w:num>
  <w:num w:numId="27">
    <w:abstractNumId w:val="12"/>
  </w:num>
  <w:num w:numId="28">
    <w:abstractNumId w:val="31"/>
  </w:num>
  <w:num w:numId="29">
    <w:abstractNumId w:val="25"/>
  </w:num>
  <w:num w:numId="30">
    <w:abstractNumId w:val="9"/>
  </w:num>
  <w:num w:numId="31">
    <w:abstractNumId w:val="7"/>
  </w:num>
  <w:num w:numId="32">
    <w:abstractNumId w:val="32"/>
  </w:num>
  <w:num w:numId="33">
    <w:abstractNumId w:val="19"/>
  </w:num>
  <w:num w:numId="34">
    <w:abstractNumId w:val="46"/>
  </w:num>
  <w:num w:numId="35">
    <w:abstractNumId w:val="13"/>
  </w:num>
  <w:num w:numId="36">
    <w:abstractNumId w:val="18"/>
  </w:num>
  <w:num w:numId="37">
    <w:abstractNumId w:val="6"/>
  </w:num>
  <w:num w:numId="38">
    <w:abstractNumId w:val="21"/>
  </w:num>
  <w:num w:numId="39">
    <w:abstractNumId w:val="37"/>
  </w:num>
  <w:num w:numId="40">
    <w:abstractNumId w:val="39"/>
  </w:num>
  <w:num w:numId="41">
    <w:abstractNumId w:val="17"/>
  </w:num>
  <w:num w:numId="42">
    <w:abstractNumId w:val="30"/>
  </w:num>
  <w:num w:numId="43">
    <w:abstractNumId w:val="33"/>
  </w:num>
  <w:num w:numId="44">
    <w:abstractNumId w:val="3"/>
  </w:num>
  <w:num w:numId="45">
    <w:abstractNumId w:val="27"/>
  </w:num>
  <w:num w:numId="46">
    <w:abstractNumId w:val="2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AF"/>
    <w:rsid w:val="00002F1C"/>
    <w:rsid w:val="00005757"/>
    <w:rsid w:val="0001443B"/>
    <w:rsid w:val="00017B1C"/>
    <w:rsid w:val="00021272"/>
    <w:rsid w:val="00024C54"/>
    <w:rsid w:val="0002721F"/>
    <w:rsid w:val="00041B17"/>
    <w:rsid w:val="00050F38"/>
    <w:rsid w:val="00060DAD"/>
    <w:rsid w:val="00065CD2"/>
    <w:rsid w:val="00076E99"/>
    <w:rsid w:val="00083598"/>
    <w:rsid w:val="0009149B"/>
    <w:rsid w:val="000920DF"/>
    <w:rsid w:val="000B014B"/>
    <w:rsid w:val="000B233C"/>
    <w:rsid w:val="000C2DF4"/>
    <w:rsid w:val="000C7E30"/>
    <w:rsid w:val="000D7700"/>
    <w:rsid w:val="000E47E8"/>
    <w:rsid w:val="000E50B1"/>
    <w:rsid w:val="000E520F"/>
    <w:rsid w:val="000F6D83"/>
    <w:rsid w:val="00106C85"/>
    <w:rsid w:val="001205A9"/>
    <w:rsid w:val="001221FA"/>
    <w:rsid w:val="00124AAC"/>
    <w:rsid w:val="00126118"/>
    <w:rsid w:val="0014305D"/>
    <w:rsid w:val="00143ADE"/>
    <w:rsid w:val="00143F3D"/>
    <w:rsid w:val="00146939"/>
    <w:rsid w:val="00146D19"/>
    <w:rsid w:val="00151BB2"/>
    <w:rsid w:val="00151EF3"/>
    <w:rsid w:val="0015407F"/>
    <w:rsid w:val="0015709F"/>
    <w:rsid w:val="00161F2F"/>
    <w:rsid w:val="00166E6F"/>
    <w:rsid w:val="00172790"/>
    <w:rsid w:val="0017649B"/>
    <w:rsid w:val="001820E8"/>
    <w:rsid w:val="00182ACF"/>
    <w:rsid w:val="00186230"/>
    <w:rsid w:val="001909F8"/>
    <w:rsid w:val="00197D09"/>
    <w:rsid w:val="001A1216"/>
    <w:rsid w:val="001A356B"/>
    <w:rsid w:val="001A5834"/>
    <w:rsid w:val="001A5C67"/>
    <w:rsid w:val="001B2683"/>
    <w:rsid w:val="001B3E3C"/>
    <w:rsid w:val="001B4028"/>
    <w:rsid w:val="001D2869"/>
    <w:rsid w:val="001D3C1D"/>
    <w:rsid w:val="001D432A"/>
    <w:rsid w:val="001D7F77"/>
    <w:rsid w:val="001E01AF"/>
    <w:rsid w:val="001E544B"/>
    <w:rsid w:val="001E6DDB"/>
    <w:rsid w:val="001F0287"/>
    <w:rsid w:val="001F0610"/>
    <w:rsid w:val="001F24A4"/>
    <w:rsid w:val="00205A98"/>
    <w:rsid w:val="00207280"/>
    <w:rsid w:val="00213775"/>
    <w:rsid w:val="002152AA"/>
    <w:rsid w:val="00216776"/>
    <w:rsid w:val="00221B39"/>
    <w:rsid w:val="002241C8"/>
    <w:rsid w:val="00227869"/>
    <w:rsid w:val="0023081F"/>
    <w:rsid w:val="002313EE"/>
    <w:rsid w:val="00242507"/>
    <w:rsid w:val="00243134"/>
    <w:rsid w:val="0024354A"/>
    <w:rsid w:val="00257343"/>
    <w:rsid w:val="0026026C"/>
    <w:rsid w:val="0026479D"/>
    <w:rsid w:val="00272A20"/>
    <w:rsid w:val="0029062D"/>
    <w:rsid w:val="002A428B"/>
    <w:rsid w:val="002A46BC"/>
    <w:rsid w:val="002A6741"/>
    <w:rsid w:val="002B2CBB"/>
    <w:rsid w:val="002B4A1C"/>
    <w:rsid w:val="002C0062"/>
    <w:rsid w:val="002C5B35"/>
    <w:rsid w:val="002C5F51"/>
    <w:rsid w:val="002C6323"/>
    <w:rsid w:val="002D39BA"/>
    <w:rsid w:val="002D4DE5"/>
    <w:rsid w:val="002D6247"/>
    <w:rsid w:val="002F06D0"/>
    <w:rsid w:val="002F480A"/>
    <w:rsid w:val="002F6661"/>
    <w:rsid w:val="0031364C"/>
    <w:rsid w:val="0031502E"/>
    <w:rsid w:val="0033498A"/>
    <w:rsid w:val="00337BFD"/>
    <w:rsid w:val="003443A4"/>
    <w:rsid w:val="003467A6"/>
    <w:rsid w:val="00347997"/>
    <w:rsid w:val="0035146D"/>
    <w:rsid w:val="00353485"/>
    <w:rsid w:val="00354570"/>
    <w:rsid w:val="0035605A"/>
    <w:rsid w:val="00372DA3"/>
    <w:rsid w:val="00375404"/>
    <w:rsid w:val="00375515"/>
    <w:rsid w:val="00380CF7"/>
    <w:rsid w:val="003819A1"/>
    <w:rsid w:val="003850A1"/>
    <w:rsid w:val="00396CF0"/>
    <w:rsid w:val="003A4818"/>
    <w:rsid w:val="003C0B8B"/>
    <w:rsid w:val="003C1474"/>
    <w:rsid w:val="003D66E8"/>
    <w:rsid w:val="003E0183"/>
    <w:rsid w:val="003E069B"/>
    <w:rsid w:val="003E380B"/>
    <w:rsid w:val="003E486F"/>
    <w:rsid w:val="003F1EE6"/>
    <w:rsid w:val="003F1FC8"/>
    <w:rsid w:val="003F4795"/>
    <w:rsid w:val="003F4FB5"/>
    <w:rsid w:val="00410884"/>
    <w:rsid w:val="004169F9"/>
    <w:rsid w:val="004218FB"/>
    <w:rsid w:val="00425EF6"/>
    <w:rsid w:val="00436AA4"/>
    <w:rsid w:val="004444B7"/>
    <w:rsid w:val="00444DA4"/>
    <w:rsid w:val="00462E60"/>
    <w:rsid w:val="004637F6"/>
    <w:rsid w:val="0046689B"/>
    <w:rsid w:val="00467DBF"/>
    <w:rsid w:val="00471E5C"/>
    <w:rsid w:val="004731D4"/>
    <w:rsid w:val="004771DD"/>
    <w:rsid w:val="004831EA"/>
    <w:rsid w:val="00483ABD"/>
    <w:rsid w:val="00484910"/>
    <w:rsid w:val="00487129"/>
    <w:rsid w:val="00490153"/>
    <w:rsid w:val="004924BE"/>
    <w:rsid w:val="00494778"/>
    <w:rsid w:val="00496EC9"/>
    <w:rsid w:val="004974A9"/>
    <w:rsid w:val="004A1A9A"/>
    <w:rsid w:val="004A67EC"/>
    <w:rsid w:val="004C2445"/>
    <w:rsid w:val="004C47B5"/>
    <w:rsid w:val="004C6443"/>
    <w:rsid w:val="004D1F17"/>
    <w:rsid w:val="004D65BA"/>
    <w:rsid w:val="004E0027"/>
    <w:rsid w:val="004E3DF8"/>
    <w:rsid w:val="004E5BF9"/>
    <w:rsid w:val="004F0BD5"/>
    <w:rsid w:val="004F252F"/>
    <w:rsid w:val="00505F1B"/>
    <w:rsid w:val="00506258"/>
    <w:rsid w:val="00516631"/>
    <w:rsid w:val="0052343C"/>
    <w:rsid w:val="00527A5E"/>
    <w:rsid w:val="00532C5D"/>
    <w:rsid w:val="00541E5F"/>
    <w:rsid w:val="0054243A"/>
    <w:rsid w:val="00543BFE"/>
    <w:rsid w:val="00547848"/>
    <w:rsid w:val="00551578"/>
    <w:rsid w:val="00553E1F"/>
    <w:rsid w:val="00555966"/>
    <w:rsid w:val="005566D6"/>
    <w:rsid w:val="00564D1E"/>
    <w:rsid w:val="005702A9"/>
    <w:rsid w:val="00580306"/>
    <w:rsid w:val="00587177"/>
    <w:rsid w:val="005A2E47"/>
    <w:rsid w:val="005A4ECE"/>
    <w:rsid w:val="005A4F76"/>
    <w:rsid w:val="005A5559"/>
    <w:rsid w:val="005B3FE7"/>
    <w:rsid w:val="005C47FD"/>
    <w:rsid w:val="005C6EB2"/>
    <w:rsid w:val="005D1935"/>
    <w:rsid w:val="005E398D"/>
    <w:rsid w:val="005F0746"/>
    <w:rsid w:val="005F1C74"/>
    <w:rsid w:val="005F279E"/>
    <w:rsid w:val="005F70BA"/>
    <w:rsid w:val="00600E99"/>
    <w:rsid w:val="0060651D"/>
    <w:rsid w:val="00621313"/>
    <w:rsid w:val="00633764"/>
    <w:rsid w:val="00635D1F"/>
    <w:rsid w:val="00641C54"/>
    <w:rsid w:val="00656AEC"/>
    <w:rsid w:val="00657DBC"/>
    <w:rsid w:val="00666BC4"/>
    <w:rsid w:val="00676139"/>
    <w:rsid w:val="00686BFE"/>
    <w:rsid w:val="0069285B"/>
    <w:rsid w:val="00696897"/>
    <w:rsid w:val="006A4DAF"/>
    <w:rsid w:val="006A6AFE"/>
    <w:rsid w:val="006B0784"/>
    <w:rsid w:val="006B1201"/>
    <w:rsid w:val="006B1230"/>
    <w:rsid w:val="006B3B60"/>
    <w:rsid w:val="006B445A"/>
    <w:rsid w:val="006B5471"/>
    <w:rsid w:val="006C3B30"/>
    <w:rsid w:val="006C3C16"/>
    <w:rsid w:val="006D1E3C"/>
    <w:rsid w:val="006D3646"/>
    <w:rsid w:val="006E2FDF"/>
    <w:rsid w:val="006E6650"/>
    <w:rsid w:val="007054E1"/>
    <w:rsid w:val="00724B8E"/>
    <w:rsid w:val="0073273A"/>
    <w:rsid w:val="00735EAE"/>
    <w:rsid w:val="007371DF"/>
    <w:rsid w:val="00740533"/>
    <w:rsid w:val="00741BB6"/>
    <w:rsid w:val="00753BC1"/>
    <w:rsid w:val="00765008"/>
    <w:rsid w:val="00766479"/>
    <w:rsid w:val="00766997"/>
    <w:rsid w:val="007737C3"/>
    <w:rsid w:val="00774AB8"/>
    <w:rsid w:val="00774B72"/>
    <w:rsid w:val="00777787"/>
    <w:rsid w:val="00781E40"/>
    <w:rsid w:val="00785099"/>
    <w:rsid w:val="007861ED"/>
    <w:rsid w:val="00793276"/>
    <w:rsid w:val="00793FA9"/>
    <w:rsid w:val="007950F5"/>
    <w:rsid w:val="00796E14"/>
    <w:rsid w:val="007A0B7C"/>
    <w:rsid w:val="007B24A3"/>
    <w:rsid w:val="007C3A20"/>
    <w:rsid w:val="007C43EF"/>
    <w:rsid w:val="007C4BCC"/>
    <w:rsid w:val="007C618F"/>
    <w:rsid w:val="007D01FE"/>
    <w:rsid w:val="007D7244"/>
    <w:rsid w:val="007D7F1B"/>
    <w:rsid w:val="007E017A"/>
    <w:rsid w:val="007E0A8E"/>
    <w:rsid w:val="007E307F"/>
    <w:rsid w:val="007E5BA0"/>
    <w:rsid w:val="007F1249"/>
    <w:rsid w:val="007F3BBA"/>
    <w:rsid w:val="00800048"/>
    <w:rsid w:val="00800CFC"/>
    <w:rsid w:val="008072E5"/>
    <w:rsid w:val="00821CB9"/>
    <w:rsid w:val="0082763A"/>
    <w:rsid w:val="008316E4"/>
    <w:rsid w:val="00835429"/>
    <w:rsid w:val="008403A7"/>
    <w:rsid w:val="00841010"/>
    <w:rsid w:val="008413E9"/>
    <w:rsid w:val="008446A1"/>
    <w:rsid w:val="0087197D"/>
    <w:rsid w:val="00884C9F"/>
    <w:rsid w:val="00885B95"/>
    <w:rsid w:val="00890327"/>
    <w:rsid w:val="00892767"/>
    <w:rsid w:val="008A0D9B"/>
    <w:rsid w:val="008A73D8"/>
    <w:rsid w:val="008C0B27"/>
    <w:rsid w:val="008C4899"/>
    <w:rsid w:val="008C58A3"/>
    <w:rsid w:val="008D36E7"/>
    <w:rsid w:val="008D3AD4"/>
    <w:rsid w:val="008D6A96"/>
    <w:rsid w:val="008F2547"/>
    <w:rsid w:val="00905591"/>
    <w:rsid w:val="00910A56"/>
    <w:rsid w:val="00910A98"/>
    <w:rsid w:val="00915CBE"/>
    <w:rsid w:val="00924546"/>
    <w:rsid w:val="00934C49"/>
    <w:rsid w:val="00935B78"/>
    <w:rsid w:val="00940D99"/>
    <w:rsid w:val="00944B6E"/>
    <w:rsid w:val="00944CDF"/>
    <w:rsid w:val="0094569B"/>
    <w:rsid w:val="009460AD"/>
    <w:rsid w:val="009606FE"/>
    <w:rsid w:val="00964A86"/>
    <w:rsid w:val="00972441"/>
    <w:rsid w:val="00976903"/>
    <w:rsid w:val="00982AE0"/>
    <w:rsid w:val="00983C6F"/>
    <w:rsid w:val="00984CD7"/>
    <w:rsid w:val="00990CF2"/>
    <w:rsid w:val="009915A5"/>
    <w:rsid w:val="009915D3"/>
    <w:rsid w:val="009916FE"/>
    <w:rsid w:val="009A3814"/>
    <w:rsid w:val="009A7D18"/>
    <w:rsid w:val="009C4855"/>
    <w:rsid w:val="009C5684"/>
    <w:rsid w:val="009D0237"/>
    <w:rsid w:val="009D3CF5"/>
    <w:rsid w:val="009D6FA4"/>
    <w:rsid w:val="009E7E8F"/>
    <w:rsid w:val="009F7ED1"/>
    <w:rsid w:val="00A054DB"/>
    <w:rsid w:val="00A127DD"/>
    <w:rsid w:val="00A16C6D"/>
    <w:rsid w:val="00A26B2D"/>
    <w:rsid w:val="00A37695"/>
    <w:rsid w:val="00A376B1"/>
    <w:rsid w:val="00A37A97"/>
    <w:rsid w:val="00A42A10"/>
    <w:rsid w:val="00A43ED8"/>
    <w:rsid w:val="00A451FB"/>
    <w:rsid w:val="00A453DE"/>
    <w:rsid w:val="00A47246"/>
    <w:rsid w:val="00A535FC"/>
    <w:rsid w:val="00A6210A"/>
    <w:rsid w:val="00A70719"/>
    <w:rsid w:val="00A71F72"/>
    <w:rsid w:val="00A7386A"/>
    <w:rsid w:val="00A74DF0"/>
    <w:rsid w:val="00A86EBB"/>
    <w:rsid w:val="00A87672"/>
    <w:rsid w:val="00A945EE"/>
    <w:rsid w:val="00AA133E"/>
    <w:rsid w:val="00AB08A3"/>
    <w:rsid w:val="00AB1245"/>
    <w:rsid w:val="00AB3F5B"/>
    <w:rsid w:val="00AC33CB"/>
    <w:rsid w:val="00AC3475"/>
    <w:rsid w:val="00AC7C93"/>
    <w:rsid w:val="00AD428A"/>
    <w:rsid w:val="00AE1A41"/>
    <w:rsid w:val="00AE2528"/>
    <w:rsid w:val="00AE2896"/>
    <w:rsid w:val="00AE66FF"/>
    <w:rsid w:val="00AF00DF"/>
    <w:rsid w:val="00AF646F"/>
    <w:rsid w:val="00AF6CE5"/>
    <w:rsid w:val="00AF6F9E"/>
    <w:rsid w:val="00B01B52"/>
    <w:rsid w:val="00B01E66"/>
    <w:rsid w:val="00B03A40"/>
    <w:rsid w:val="00B07FF9"/>
    <w:rsid w:val="00B160CC"/>
    <w:rsid w:val="00B20774"/>
    <w:rsid w:val="00B21972"/>
    <w:rsid w:val="00B24209"/>
    <w:rsid w:val="00B27C5A"/>
    <w:rsid w:val="00B333DE"/>
    <w:rsid w:val="00B34D1B"/>
    <w:rsid w:val="00B43214"/>
    <w:rsid w:val="00B448AD"/>
    <w:rsid w:val="00B601AA"/>
    <w:rsid w:val="00B66476"/>
    <w:rsid w:val="00B67754"/>
    <w:rsid w:val="00B722AD"/>
    <w:rsid w:val="00B735DF"/>
    <w:rsid w:val="00B7720E"/>
    <w:rsid w:val="00B82193"/>
    <w:rsid w:val="00BA1A81"/>
    <w:rsid w:val="00BC00E4"/>
    <w:rsid w:val="00BC4831"/>
    <w:rsid w:val="00BD0961"/>
    <w:rsid w:val="00BD2353"/>
    <w:rsid w:val="00BD6649"/>
    <w:rsid w:val="00BE0BE3"/>
    <w:rsid w:val="00BE109B"/>
    <w:rsid w:val="00BE1819"/>
    <w:rsid w:val="00BE626C"/>
    <w:rsid w:val="00BE6EAB"/>
    <w:rsid w:val="00BF0F1B"/>
    <w:rsid w:val="00BF2AEE"/>
    <w:rsid w:val="00C00442"/>
    <w:rsid w:val="00C064EF"/>
    <w:rsid w:val="00C16D4E"/>
    <w:rsid w:val="00C22AAF"/>
    <w:rsid w:val="00C22DA2"/>
    <w:rsid w:val="00C24C8C"/>
    <w:rsid w:val="00C3623A"/>
    <w:rsid w:val="00C370FD"/>
    <w:rsid w:val="00C37CA3"/>
    <w:rsid w:val="00C416BD"/>
    <w:rsid w:val="00C42435"/>
    <w:rsid w:val="00C43EDB"/>
    <w:rsid w:val="00C50F36"/>
    <w:rsid w:val="00C51396"/>
    <w:rsid w:val="00C52C94"/>
    <w:rsid w:val="00C603FC"/>
    <w:rsid w:val="00C60450"/>
    <w:rsid w:val="00C73A58"/>
    <w:rsid w:val="00C74A9D"/>
    <w:rsid w:val="00C74DC5"/>
    <w:rsid w:val="00C8080D"/>
    <w:rsid w:val="00C9219F"/>
    <w:rsid w:val="00C95EC4"/>
    <w:rsid w:val="00C96270"/>
    <w:rsid w:val="00CA5217"/>
    <w:rsid w:val="00CA5B43"/>
    <w:rsid w:val="00CB4755"/>
    <w:rsid w:val="00CB6A26"/>
    <w:rsid w:val="00CC4A43"/>
    <w:rsid w:val="00CC566C"/>
    <w:rsid w:val="00CD053E"/>
    <w:rsid w:val="00CD23C9"/>
    <w:rsid w:val="00CD37E0"/>
    <w:rsid w:val="00CD71C7"/>
    <w:rsid w:val="00CD79F9"/>
    <w:rsid w:val="00CE1294"/>
    <w:rsid w:val="00CE533C"/>
    <w:rsid w:val="00CE70C0"/>
    <w:rsid w:val="00CF43B1"/>
    <w:rsid w:val="00CF5E54"/>
    <w:rsid w:val="00D047D9"/>
    <w:rsid w:val="00D21441"/>
    <w:rsid w:val="00D33A7A"/>
    <w:rsid w:val="00D359B1"/>
    <w:rsid w:val="00D42AB7"/>
    <w:rsid w:val="00D438C5"/>
    <w:rsid w:val="00D43F7B"/>
    <w:rsid w:val="00D45285"/>
    <w:rsid w:val="00D46A07"/>
    <w:rsid w:val="00D602AB"/>
    <w:rsid w:val="00D64108"/>
    <w:rsid w:val="00D84A1D"/>
    <w:rsid w:val="00D87690"/>
    <w:rsid w:val="00D87DF2"/>
    <w:rsid w:val="00D90C12"/>
    <w:rsid w:val="00D93EF2"/>
    <w:rsid w:val="00D964A6"/>
    <w:rsid w:val="00D979A4"/>
    <w:rsid w:val="00DA1F5F"/>
    <w:rsid w:val="00DB0D20"/>
    <w:rsid w:val="00DB309A"/>
    <w:rsid w:val="00DB5E82"/>
    <w:rsid w:val="00DC79CF"/>
    <w:rsid w:val="00DD181E"/>
    <w:rsid w:val="00DD1DC8"/>
    <w:rsid w:val="00DD7CAE"/>
    <w:rsid w:val="00DE43B3"/>
    <w:rsid w:val="00DF0883"/>
    <w:rsid w:val="00E01945"/>
    <w:rsid w:val="00E02911"/>
    <w:rsid w:val="00E02E0D"/>
    <w:rsid w:val="00E03946"/>
    <w:rsid w:val="00E0415A"/>
    <w:rsid w:val="00E15B3B"/>
    <w:rsid w:val="00E174F5"/>
    <w:rsid w:val="00E24A9E"/>
    <w:rsid w:val="00E24FEF"/>
    <w:rsid w:val="00E311E4"/>
    <w:rsid w:val="00E3429B"/>
    <w:rsid w:val="00E44AAB"/>
    <w:rsid w:val="00E453AB"/>
    <w:rsid w:val="00E57BF8"/>
    <w:rsid w:val="00E67437"/>
    <w:rsid w:val="00E7190E"/>
    <w:rsid w:val="00E86810"/>
    <w:rsid w:val="00E86B24"/>
    <w:rsid w:val="00E8765C"/>
    <w:rsid w:val="00E93164"/>
    <w:rsid w:val="00E947CD"/>
    <w:rsid w:val="00EA718D"/>
    <w:rsid w:val="00EB2405"/>
    <w:rsid w:val="00EC0BAF"/>
    <w:rsid w:val="00EC5D1C"/>
    <w:rsid w:val="00EC7E58"/>
    <w:rsid w:val="00ED1964"/>
    <w:rsid w:val="00ED2617"/>
    <w:rsid w:val="00ED57BF"/>
    <w:rsid w:val="00ED714C"/>
    <w:rsid w:val="00EE0FB4"/>
    <w:rsid w:val="00EE595A"/>
    <w:rsid w:val="00F03631"/>
    <w:rsid w:val="00F110C9"/>
    <w:rsid w:val="00F21561"/>
    <w:rsid w:val="00F24BD4"/>
    <w:rsid w:val="00F315D0"/>
    <w:rsid w:val="00F33C8F"/>
    <w:rsid w:val="00F36120"/>
    <w:rsid w:val="00F42764"/>
    <w:rsid w:val="00F46770"/>
    <w:rsid w:val="00F50278"/>
    <w:rsid w:val="00F71584"/>
    <w:rsid w:val="00F8638C"/>
    <w:rsid w:val="00F9202F"/>
    <w:rsid w:val="00F939D2"/>
    <w:rsid w:val="00F950F6"/>
    <w:rsid w:val="00F950FC"/>
    <w:rsid w:val="00F97C15"/>
    <w:rsid w:val="00FA0D32"/>
    <w:rsid w:val="00FA0E86"/>
    <w:rsid w:val="00FA21F8"/>
    <w:rsid w:val="00FA3417"/>
    <w:rsid w:val="00FA5C40"/>
    <w:rsid w:val="00FA686A"/>
    <w:rsid w:val="00FA69D4"/>
    <w:rsid w:val="00FB14BD"/>
    <w:rsid w:val="00FB155F"/>
    <w:rsid w:val="00FB455F"/>
    <w:rsid w:val="00FB6E2A"/>
    <w:rsid w:val="00FC2811"/>
    <w:rsid w:val="00FD1C5B"/>
    <w:rsid w:val="00FD362E"/>
    <w:rsid w:val="00FD78DD"/>
    <w:rsid w:val="00FE14C1"/>
    <w:rsid w:val="00FE2E82"/>
    <w:rsid w:val="00FE3472"/>
    <w:rsid w:val="00FE350C"/>
    <w:rsid w:val="00FE61D6"/>
    <w:rsid w:val="00FE7DFA"/>
    <w:rsid w:val="00FF0280"/>
    <w:rsid w:val="00FF374B"/>
    <w:rsid w:val="00FF3876"/>
    <w:rsid w:val="00FF683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1FD7"/>
  <w15:docId w15:val="{15E9094B-06C3-429F-9214-D82BBA6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Paragraphedeliste"/>
    <w:next w:val="Normal"/>
    <w:link w:val="Titre2Car"/>
    <w:uiPriority w:val="9"/>
    <w:unhideWhenUsed/>
    <w:qFormat/>
    <w:pPr>
      <w:pageBreakBefore/>
      <w:numPr>
        <w:numId w:val="1"/>
      </w:numPr>
      <w:spacing w:before="240" w:after="120"/>
      <w:ind w:left="714" w:hanging="357"/>
      <w:contextualSpacing w:val="0"/>
      <w:jc w:val="both"/>
      <w:outlineLvl w:val="1"/>
    </w:pPr>
    <w:rPr>
      <w:b/>
      <w:sz w:val="24"/>
      <w:szCs w:val="24"/>
    </w:rPr>
  </w:style>
  <w:style w:type="paragraph" w:styleId="Titre3">
    <w:name w:val="heading 3"/>
    <w:basedOn w:val="Paragraphedeliste"/>
    <w:next w:val="Normal"/>
    <w:link w:val="Titre3Car"/>
    <w:uiPriority w:val="9"/>
    <w:unhideWhenUsed/>
    <w:qFormat/>
    <w:pPr>
      <w:numPr>
        <w:ilvl w:val="1"/>
        <w:numId w:val="1"/>
      </w:numPr>
      <w:spacing w:before="240" w:after="120"/>
      <w:ind w:left="1077" w:firstLine="0"/>
      <w:contextualSpacing w:val="0"/>
      <w:jc w:val="both"/>
      <w:outlineLvl w:val="2"/>
    </w:pPr>
    <w:rPr>
      <w:b/>
      <w:color w:val="7030A0"/>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EndnoteTextChar">
    <w:name w:val="Endnote Text Char"/>
    <w:uiPriority w:val="99"/>
    <w:qFormat/>
    <w:rPr>
      <w:sz w:val="20"/>
    </w:rPr>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HeaderChar">
    <w:name w:val="Header Char"/>
    <w:basedOn w:val="Policepardfaut"/>
    <w:uiPriority w:val="99"/>
    <w:qFormat/>
  </w:style>
  <w:style w:type="character" w:customStyle="1" w:styleId="FooterChar">
    <w:name w:val="Footer Char"/>
    <w:basedOn w:val="Policepardfau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Titre2Car">
    <w:name w:val="Titre 2 Car"/>
    <w:basedOn w:val="Policepardfaut"/>
    <w:link w:val="Titre2"/>
    <w:uiPriority w:val="9"/>
    <w:qFormat/>
    <w:rPr>
      <w:b/>
      <w:sz w:val="24"/>
      <w:szCs w:val="24"/>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rPr>
  </w:style>
  <w:style w:type="character" w:customStyle="1" w:styleId="LienInternet">
    <w:name w:val="Lien Internet"/>
    <w:basedOn w:val="Policepardfaut"/>
    <w:uiPriority w:val="99"/>
    <w:unhideWhenUsed/>
    <w:rPr>
      <w:color w:val="0563C1" w:themeColor="hyperlink"/>
      <w:u w:val="single"/>
    </w:rPr>
  </w:style>
  <w:style w:type="character" w:customStyle="1" w:styleId="LienInternetvisit">
    <w:name w:val="Lien Internet visité"/>
    <w:basedOn w:val="Policepardfaut"/>
    <w:uiPriority w:val="99"/>
    <w:semiHidden/>
    <w:unhideWhenUsed/>
    <w:rPr>
      <w:color w:val="954F72" w:themeColor="followedHyperlink"/>
      <w:u w:val="single"/>
    </w:rPr>
  </w:style>
  <w:style w:type="character" w:styleId="Emphaseple">
    <w:name w:val="Subtle Emphasis"/>
    <w:basedOn w:val="Policepardfaut"/>
    <w:uiPriority w:val="19"/>
    <w:qFormat/>
    <w:rPr>
      <w:i/>
      <w:iCs/>
      <w:color w:val="404040" w:themeColor="text1" w:themeTint="BF"/>
    </w:rPr>
  </w:style>
  <w:style w:type="character" w:customStyle="1" w:styleId="Sous-titreCar">
    <w:name w:val="Sous-titre Car"/>
    <w:basedOn w:val="Policepardfaut"/>
    <w:uiPriority w:val="11"/>
    <w:qFormat/>
    <w:rPr>
      <w:rFonts w:asciiTheme="minorHAnsi" w:eastAsiaTheme="minorEastAsia" w:hAnsiTheme="minorHAnsi"/>
      <w:color w:val="5A5A5A" w:themeColor="text1" w:themeTint="A5"/>
      <w:spacing w:val="15"/>
    </w:rPr>
  </w:style>
  <w:style w:type="character" w:customStyle="1" w:styleId="Titre3Car">
    <w:name w:val="Titre 3 Car"/>
    <w:basedOn w:val="Policepardfaut"/>
    <w:link w:val="Titre3"/>
    <w:uiPriority w:val="9"/>
    <w:qFormat/>
    <w:rPr>
      <w:b/>
      <w:color w:val="7030A0"/>
    </w:rPr>
  </w:style>
  <w:style w:type="character" w:styleId="lev">
    <w:name w:val="Strong"/>
    <w:basedOn w:val="Policepardfaut"/>
    <w:uiPriority w:val="22"/>
    <w:qFormat/>
    <w:rPr>
      <w:b/>
      <w:bCs/>
    </w:rPr>
  </w:style>
  <w:style w:type="character" w:customStyle="1" w:styleId="NotedebasdepageCar">
    <w:name w:val="Note de bas de page Car"/>
    <w:basedOn w:val="Policepardfaut"/>
    <w:link w:val="Notedebasdepage"/>
    <w:uiPriority w:val="99"/>
    <w:qFormat/>
    <w:rPr>
      <w:rFonts w:asciiTheme="minorHAnsi" w:hAnsiTheme="minorHAns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fontstyle01">
    <w:name w:val="fontstyle01"/>
    <w:basedOn w:val="Policepardfaut"/>
    <w:qFormat/>
    <w:rPr>
      <w:rFonts w:ascii="Cambria" w:hAnsi="Cambria"/>
      <w:b w:val="0"/>
      <w:bCs w:val="0"/>
      <w:i w:val="0"/>
      <w:iCs w:val="0"/>
      <w:color w:val="000000"/>
      <w:sz w:val="20"/>
      <w:szCs w:val="20"/>
    </w:rPr>
  </w:style>
  <w:style w:type="character" w:customStyle="1" w:styleId="markedcontent">
    <w:name w:val="markedcontent"/>
    <w:basedOn w:val="Policepardfaut"/>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fontstyle21">
    <w:name w:val="fontstyle21"/>
    <w:basedOn w:val="Policepardfaut"/>
    <w:qFormat/>
    <w:rPr>
      <w:rFonts w:ascii="Marianne-Bold" w:hAnsi="Marianne-Bold"/>
      <w:b/>
      <w:bCs/>
      <w:i w:val="0"/>
      <w:iCs w:val="0"/>
      <w:color w:val="000000"/>
      <w:sz w:val="18"/>
      <w:szCs w:val="18"/>
    </w:rPr>
  </w:style>
  <w:style w:type="character" w:customStyle="1" w:styleId="fontstyle31">
    <w:name w:val="fontstyle31"/>
    <w:basedOn w:val="Policepardfaut"/>
    <w:qFormat/>
    <w:rPr>
      <w:rFonts w:ascii="Calibri" w:hAnsi="Calibri" w:cs="Calibri"/>
      <w:b w:val="0"/>
      <w:bCs w:val="0"/>
      <w:i w:val="0"/>
      <w:iCs w:val="0"/>
      <w:color w:val="000000"/>
      <w:sz w:val="18"/>
      <w:szCs w:val="18"/>
    </w:rPr>
  </w:style>
  <w:style w:type="character" w:customStyle="1" w:styleId="fontstyle41">
    <w:name w:val="fontstyle41"/>
    <w:basedOn w:val="Policepardfaut"/>
    <w:qFormat/>
    <w:rPr>
      <w:rFonts w:ascii="Marianne-RegularItalic" w:hAnsi="Marianne-RegularItalic"/>
      <w:b w:val="0"/>
      <w:bCs w:val="0"/>
      <w:i/>
      <w:iCs/>
      <w:color w:val="000000"/>
      <w:sz w:val="18"/>
      <w:szCs w:val="18"/>
    </w:rPr>
  </w:style>
  <w:style w:type="character" w:customStyle="1" w:styleId="Titre4Car">
    <w:name w:val="Titre 4 Car"/>
    <w:basedOn w:val="Policepardfaut"/>
    <w:link w:val="Titre4"/>
    <w:uiPriority w:val="9"/>
    <w:qFormat/>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qFormat/>
    <w:rPr>
      <w:rFonts w:asciiTheme="majorHAnsi" w:eastAsiaTheme="majorEastAsia" w:hAnsiTheme="majorHAnsi" w:cstheme="majorBidi"/>
      <w:color w:val="1F4D78" w:themeColor="accent1" w:themeShade="7F"/>
    </w:rPr>
  </w:style>
  <w:style w:type="character" w:customStyle="1" w:styleId="fr-sr-only">
    <w:name w:val="fr-sr-only"/>
    <w:basedOn w:val="Policepardfaut"/>
    <w:qFormat/>
  </w:style>
  <w:style w:type="character" w:customStyle="1" w:styleId="sp-prix">
    <w:name w:val="sp-prix"/>
    <w:basedOn w:val="Policepardfaut"/>
    <w:qFormat/>
  </w:style>
  <w:style w:type="character" w:customStyle="1" w:styleId="z-HautduformulaireCar">
    <w:name w:val="z-Haut du formulaire Car"/>
    <w:basedOn w:val="Policepardfaut"/>
    <w:uiPriority w:val="99"/>
    <w:semiHidden/>
    <w:qFormat/>
    <w:rPr>
      <w:rFonts w:ascii="Arial" w:eastAsia="Times New Roman" w:hAnsi="Arial" w:cs="Arial"/>
      <w:vanish/>
      <w:sz w:val="16"/>
      <w:szCs w:val="16"/>
      <w:lang w:eastAsia="fr-FR"/>
    </w:rPr>
  </w:style>
  <w:style w:type="character" w:customStyle="1" w:styleId="fr-hint-text">
    <w:name w:val="fr-hint-text"/>
    <w:basedOn w:val="Policepardfaut"/>
    <w:qFormat/>
  </w:style>
  <w:style w:type="character" w:customStyle="1" w:styleId="z-BasduformulaireCar">
    <w:name w:val="z-Bas du formulaire Car"/>
    <w:basedOn w:val="Policepardfaut"/>
    <w:uiPriority w:val="99"/>
    <w:semiHidden/>
    <w:qFormat/>
    <w:rPr>
      <w:rFonts w:ascii="Arial" w:eastAsia="Times New Roman" w:hAnsi="Arial" w:cs="Arial"/>
      <w:vanish/>
      <w:sz w:val="16"/>
      <w:szCs w:val="16"/>
      <w:lang w:eastAsia="fr-FR"/>
    </w:rPr>
  </w:style>
  <w:style w:type="character" w:customStyle="1" w:styleId="CorpsdetexteCar">
    <w:name w:val="Corps de texte Car"/>
    <w:basedOn w:val="Policepardfaut"/>
    <w:link w:val="Corpsdetexte"/>
    <w:qFormat/>
  </w:style>
  <w:style w:type="character" w:styleId="Accentuation">
    <w:name w:val="Emphasis"/>
    <w:basedOn w:val="Policepardfaut"/>
    <w:uiPriority w:val="20"/>
    <w:qFormat/>
    <w:rPr>
      <w:i/>
      <w:iCs/>
    </w:rPr>
  </w:style>
  <w:style w:type="character" w:customStyle="1" w:styleId="En-tteCar">
    <w:name w:val="En-tête Car"/>
    <w:basedOn w:val="Policepardfaut"/>
    <w:uiPriority w:val="99"/>
    <w:qFormat/>
  </w:style>
  <w:style w:type="character" w:customStyle="1" w:styleId="PieddepageCar">
    <w:name w:val="Pied de page Car"/>
    <w:basedOn w:val="Policepardfaut"/>
    <w:link w:val="Pieddepage"/>
    <w:uiPriority w:val="99"/>
    <w:qFormat/>
  </w:style>
  <w:style w:type="character" w:customStyle="1" w:styleId="hgkelc">
    <w:name w:val="hgkelc"/>
    <w:basedOn w:val="Policepardfaut"/>
    <w:qFormat/>
  </w:style>
  <w:style w:type="character" w:customStyle="1" w:styleId="Numrotationdelignes">
    <w:name w:val="Numérotation de lignes"/>
  </w:style>
  <w:style w:type="character" w:customStyle="1" w:styleId="Caractresdenotedebasdepage">
    <w:name w:val="Caractères de note de bas de page"/>
    <w:qFormat/>
  </w:style>
  <w:style w:type="character" w:customStyle="1" w:styleId="Caractresdenotedefin">
    <w:name w:val="Caractères de note de fin"/>
    <w:qFormat/>
  </w:style>
  <w:style w:type="paragraph" w:styleId="Titre">
    <w:name w:val="Title"/>
    <w:basedOn w:val="Normal"/>
    <w:next w:val="Corpsdetexte"/>
    <w:link w:val="TitreCar"/>
    <w:uiPriority w:val="10"/>
    <w:qFormat/>
    <w:pPr>
      <w:spacing w:before="300" w:after="200"/>
      <w:contextualSpacing/>
    </w:pPr>
    <w:rPr>
      <w:sz w:val="48"/>
      <w:szCs w:val="48"/>
    </w:rPr>
  </w:style>
  <w:style w:type="paragraph" w:styleId="Corpsdetexte">
    <w:name w:val="Body Text"/>
    <w:basedOn w:val="Normal"/>
    <w:link w:val="CorpsdetexteCar"/>
    <w:pPr>
      <w:spacing w:after="140" w:line="276" w:lineRule="auto"/>
    </w:pPr>
  </w:style>
  <w:style w:type="paragraph" w:styleId="Liste">
    <w:name w:val="List"/>
    <w:basedOn w:val="Corpsdetexte"/>
    <w:rPr>
      <w:rFonts w:cs="Lucida Sans"/>
    </w:rPr>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paragraph" w:customStyle="1" w:styleId="Index">
    <w:name w:val="Index"/>
    <w:basedOn w:val="Normal"/>
    <w:qFormat/>
    <w:pPr>
      <w:suppressLineNumbers/>
    </w:pPr>
    <w:rPr>
      <w:rFonts w:cs="Lucida Sans"/>
    </w:rPr>
  </w:style>
  <w:style w:type="paragraph" w:styleId="Sansinterligne">
    <w:name w:val="No Spacing"/>
    <w:uiPriority w:val="1"/>
    <w:qFormat/>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fin">
    <w:name w:val="endnote text"/>
    <w:basedOn w:val="Normal"/>
    <w:link w:val="NotedefinCar"/>
    <w:uiPriority w:val="99"/>
    <w:semiHidden/>
    <w:unhideWhenUsed/>
    <w:pPr>
      <w:spacing w:after="0"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itreindex">
    <w:name w:val="index heading"/>
    <w:basedOn w:val="Titre"/>
  </w:style>
  <w:style w:type="paragraph" w:styleId="En-ttedetabledesmatires">
    <w:name w:val="TOC Heading"/>
    <w:uiPriority w:val="39"/>
    <w:unhideWhenUsed/>
    <w:qFormat/>
    <w:pPr>
      <w:spacing w:after="160" w:line="259" w:lineRule="auto"/>
    </w:pPr>
  </w:style>
  <w:style w:type="paragraph" w:styleId="Tabledesillustrations">
    <w:name w:val="table of figures"/>
    <w:basedOn w:val="Normal"/>
    <w:next w:val="Normal"/>
    <w:uiPriority w:val="99"/>
    <w:unhideWhenUsed/>
    <w:qFormat/>
    <w:pPr>
      <w:spacing w:after="0"/>
    </w:pPr>
  </w:style>
  <w:style w:type="paragraph" w:styleId="Paragraphedeliste">
    <w:name w:val="List Paragraph"/>
    <w:basedOn w:val="Normal"/>
    <w:uiPriority w:val="34"/>
    <w:qFormat/>
    <w:pPr>
      <w:ind w:left="720"/>
      <w:contextualSpacing/>
    </w:pPr>
  </w:style>
  <w:style w:type="paragraph" w:styleId="Sous-titre">
    <w:name w:val="Subtitle"/>
    <w:basedOn w:val="Normal"/>
    <w:next w:val="Normal"/>
    <w:uiPriority w:val="11"/>
    <w:qFormat/>
    <w:rPr>
      <w:rFonts w:asciiTheme="minorHAnsi" w:eastAsiaTheme="minorEastAsia" w:hAnsiTheme="minorHAnsi"/>
      <w:color w:val="5A5A5A" w:themeColor="text1" w:themeTint="A5"/>
      <w:spacing w:val="15"/>
    </w:rPr>
  </w:style>
  <w:style w:type="paragraph" w:styleId="Notedebasdepage">
    <w:name w:val="footnote text"/>
    <w:basedOn w:val="Normal"/>
    <w:link w:val="NotedebasdepageCar"/>
    <w:uiPriority w:val="99"/>
    <w:unhideWhenUsed/>
    <w:pPr>
      <w:spacing w:after="0" w:line="240" w:lineRule="auto"/>
    </w:pPr>
    <w:rPr>
      <w:rFonts w:asciiTheme="minorHAnsi" w:hAnsiTheme="minorHAnsi"/>
      <w:sz w:val="20"/>
      <w:szCs w:val="20"/>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Rvision">
    <w:name w:val="Revision"/>
    <w:uiPriority w:val="99"/>
    <w:semiHidden/>
    <w:qFormat/>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field--name-field-titre">
    <w:name w:val="field--name-field-titre"/>
    <w:basedOn w:val="Normal"/>
    <w:qFormat/>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fr-text--bold">
    <w:name w:val="fr-text--bold"/>
    <w:basedOn w:val="Normal"/>
    <w:qFormat/>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p-example-title">
    <w:name w:val="sp-example-title"/>
    <w:basedOn w:val="Normal"/>
    <w:qFormat/>
    <w:pPr>
      <w:spacing w:beforeAutospacing="1"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uiPriority w:val="99"/>
    <w:semiHidden/>
    <w:unhideWhenUsed/>
    <w:qFormat/>
    <w:pPr>
      <w:pBdr>
        <w:bottom w:val="single" w:sz="6" w:space="1" w:color="000000"/>
      </w:pBdr>
      <w:spacing w:after="0" w:line="240" w:lineRule="auto"/>
      <w:jc w:val="center"/>
    </w:pPr>
    <w:rPr>
      <w:rFonts w:ascii="Arial" w:eastAsia="Times New Roman" w:hAnsi="Arial" w:cs="Arial"/>
      <w:vanish/>
      <w:sz w:val="16"/>
      <w:szCs w:val="16"/>
      <w:lang w:eastAsia="fr-FR"/>
    </w:rPr>
  </w:style>
  <w:style w:type="paragraph" w:styleId="z-Basduformulaire">
    <w:name w:val="HTML Bottom of Form"/>
    <w:basedOn w:val="Normal"/>
    <w:next w:val="Normal"/>
    <w:uiPriority w:val="99"/>
    <w:semiHidden/>
    <w:unhideWhenUsed/>
    <w:qFormat/>
    <w:pPr>
      <w:pBdr>
        <w:top w:val="single" w:sz="6" w:space="1" w:color="000000"/>
      </w:pBdr>
      <w:spacing w:after="0" w:line="240" w:lineRule="auto"/>
      <w:jc w:val="center"/>
    </w:pPr>
    <w:rPr>
      <w:rFonts w:ascii="Arial" w:eastAsia="Times New Roman" w:hAnsi="Arial" w:cs="Arial"/>
      <w:vanish/>
      <w:sz w:val="16"/>
      <w:szCs w:val="16"/>
      <w:lang w:eastAsia="fr-FR"/>
    </w:rPr>
  </w:style>
  <w:style w:type="paragraph" w:customStyle="1" w:styleId="En-tteetpieddepage">
    <w:name w:val="En-tête et pied de page"/>
    <w:basedOn w:val="Normal"/>
    <w:qFormat/>
  </w:style>
  <w:style w:type="paragraph" w:styleId="En-tte">
    <w:name w:val="header"/>
    <w:basedOn w:val="Normal"/>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customStyle="1" w:styleId="En-tte1">
    <w:name w:val="En-tête1"/>
    <w:basedOn w:val="Normal"/>
    <w:qFormat/>
    <w:rsid w:val="00AB3B4D"/>
    <w:pPr>
      <w:tabs>
        <w:tab w:val="center" w:pos="4536"/>
        <w:tab w:val="right" w:pos="9072"/>
      </w:tabs>
    </w:pPr>
    <w:rPr>
      <w:rFonts w:ascii="Calibri" w:eastAsia="Calibri" w:hAnsi="Calibri" w:cs="SimSun"/>
    </w:rPr>
  </w:style>
  <w:style w:type="paragraph" w:styleId="Listepuces">
    <w:name w:val="List Bullet"/>
    <w:basedOn w:val="Normal"/>
    <w:uiPriority w:val="99"/>
    <w:unhideWhenUsed/>
    <w:qFormat/>
    <w:rsid w:val="00E01778"/>
    <w:pPr>
      <w:numPr>
        <w:numId w:val="19"/>
      </w:numPr>
      <w:contextualSpacing/>
    </w:p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9A7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pots.gouv.fr/" TargetMode="External"/><Relationship Id="rId4" Type="http://schemas.openxmlformats.org/officeDocument/2006/relationships/settings" Target="settings.xml"/><Relationship Id="rId9" Type="http://schemas.openxmlformats.org/officeDocument/2006/relationships/hyperlink" Target="http://www.impots.gouv.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llectivites-locales.gouv.fr/files/finances-locales/deliberations/TH-6-2025.pdf" TargetMode="External"/><Relationship Id="rId7" Type="http://schemas.openxmlformats.org/officeDocument/2006/relationships/hyperlink" Target="https://www.collectivites-locales.gouv.fr/files/finances-locales/deliberations/CFE-42-2024_040724.pdf" TargetMode="External"/><Relationship Id="rId2" Type="http://schemas.openxmlformats.org/officeDocument/2006/relationships/hyperlink" Target="https://www.collectivites-locales.gouv.fr/files/finances-locales/deliberations/TFB-21-2024.pdf" TargetMode="External"/><Relationship Id="rId1" Type="http://schemas.openxmlformats.org/officeDocument/2006/relationships/hyperlink" Target="https://www.collectivites-locales.gouv.fr/cohesion-territoriale/france-ruralites-revitalisation" TargetMode="External"/><Relationship Id="rId6" Type="http://schemas.openxmlformats.org/officeDocument/2006/relationships/hyperlink" Target="https://www.collectivites-locales.gouv.fr/files/finances-locales/deliberations/TFB-46-2024_v040724.pdf" TargetMode="External"/><Relationship Id="rId5" Type="http://schemas.openxmlformats.org/officeDocument/2006/relationships/hyperlink" Target="https://www.collectivites-locales.gouv.fr/files/finances-locales/deliberations/TFB-12-2024.pdf" TargetMode="External"/><Relationship Id="rId4" Type="http://schemas.openxmlformats.org/officeDocument/2006/relationships/hyperlink" Target="https://www.collectivites-locales.gouv.fr/files/finances-locales/deliberations/CET-5-20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77C1-14D1-4101-8969-5C8C9F6A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8272</Words>
  <Characters>45497</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BENEZIT Valentin</dc:creator>
  <dc:description/>
  <cp:lastModifiedBy>BENEZIT Valentin</cp:lastModifiedBy>
  <cp:revision>79</cp:revision>
  <cp:lastPrinted>2025-03-11T19:16:00Z</cp:lastPrinted>
  <dcterms:created xsi:type="dcterms:W3CDTF">2025-03-28T14:03:00Z</dcterms:created>
  <dcterms:modified xsi:type="dcterms:W3CDTF">2025-03-28T16:19:00Z</dcterms:modified>
  <dc:language>fr-FR</dc:language>
</cp:coreProperties>
</file>